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1C" w:rsidRPr="008F5678" w:rsidRDefault="00AB361C">
      <w:pPr>
        <w:rPr>
          <w:rFonts w:ascii="Bookman Old Style" w:hAnsi="Bookman Old Style"/>
          <w:sz w:val="24"/>
          <w:szCs w:val="24"/>
        </w:rPr>
      </w:pPr>
    </w:p>
    <w:p w:rsidR="004E5405" w:rsidRPr="008F5678" w:rsidRDefault="00097267">
      <w:pPr>
        <w:rPr>
          <w:rFonts w:ascii="Bookman Old Style" w:hAnsi="Bookman Old Style"/>
          <w:sz w:val="24"/>
          <w:szCs w:val="24"/>
        </w:rPr>
      </w:pPr>
      <w:r w:rsidRPr="008F5678">
        <w:rPr>
          <w:rFonts w:ascii="Bookman Old Style" w:hAnsi="Bookman Old Style"/>
          <w:noProof/>
          <w:sz w:val="24"/>
          <w:szCs w:val="24"/>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5724F5" w:rsidRPr="008F5678" w:rsidRDefault="005724F5" w:rsidP="00097267">
      <w:pPr>
        <w:spacing w:after="0" w:line="240" w:lineRule="auto"/>
        <w:jc w:val="center"/>
        <w:rPr>
          <w:rFonts w:ascii="Bookman Old Style" w:hAnsi="Bookman Old Style"/>
          <w:b/>
          <w:sz w:val="24"/>
          <w:szCs w:val="24"/>
          <w:lang w:val="es-MX"/>
        </w:rPr>
      </w:pPr>
    </w:p>
    <w:p w:rsidR="005724F5" w:rsidRPr="008F5678" w:rsidRDefault="005724F5" w:rsidP="00097267">
      <w:pPr>
        <w:spacing w:after="0" w:line="240" w:lineRule="auto"/>
        <w:jc w:val="center"/>
        <w:rPr>
          <w:rFonts w:ascii="Bookman Old Style" w:hAnsi="Bookman Old Style"/>
          <w:b/>
          <w:sz w:val="24"/>
          <w:szCs w:val="24"/>
          <w:lang w:val="es-MX"/>
        </w:rPr>
      </w:pPr>
    </w:p>
    <w:p w:rsidR="005724F5" w:rsidRPr="008F5678" w:rsidRDefault="005724F5" w:rsidP="00097267">
      <w:pPr>
        <w:spacing w:after="0" w:line="240" w:lineRule="auto"/>
        <w:jc w:val="center"/>
        <w:rPr>
          <w:rFonts w:ascii="Bookman Old Style" w:hAnsi="Bookman Old Style"/>
          <w:b/>
          <w:sz w:val="24"/>
          <w:szCs w:val="24"/>
          <w:lang w:val="es-MX"/>
        </w:rPr>
      </w:pPr>
    </w:p>
    <w:p w:rsidR="00097267" w:rsidRPr="008F5678" w:rsidRDefault="00097267" w:rsidP="00097267">
      <w:pPr>
        <w:spacing w:after="0" w:line="240" w:lineRule="auto"/>
        <w:jc w:val="center"/>
        <w:rPr>
          <w:rFonts w:ascii="Bookman Old Style" w:hAnsi="Bookman Old Style"/>
          <w:b/>
          <w:sz w:val="24"/>
          <w:szCs w:val="24"/>
          <w:lang w:val="es-MX"/>
        </w:rPr>
      </w:pPr>
      <w:r w:rsidRPr="008F5678">
        <w:rPr>
          <w:rFonts w:ascii="Bookman Old Style" w:hAnsi="Bookman Old Style"/>
          <w:b/>
          <w:sz w:val="24"/>
          <w:szCs w:val="24"/>
          <w:lang w:val="es-MX"/>
        </w:rPr>
        <w:t>PROCURADURÍA GENERAL DEL ESTADO</w:t>
      </w:r>
    </w:p>
    <w:p w:rsidR="00097267" w:rsidRPr="008F5678" w:rsidRDefault="00097267" w:rsidP="00097267">
      <w:pPr>
        <w:spacing w:after="0" w:line="240" w:lineRule="auto"/>
        <w:jc w:val="center"/>
        <w:rPr>
          <w:rFonts w:ascii="Bookman Old Style" w:hAnsi="Bookman Old Style"/>
          <w:b/>
          <w:sz w:val="24"/>
          <w:szCs w:val="24"/>
          <w:lang w:val="es-MX"/>
        </w:rPr>
      </w:pPr>
      <w:r w:rsidRPr="008F5678">
        <w:rPr>
          <w:rFonts w:ascii="Bookman Old Style" w:hAnsi="Bookman Old Style"/>
          <w:b/>
          <w:sz w:val="24"/>
          <w:szCs w:val="24"/>
          <w:lang w:val="es-MX"/>
        </w:rPr>
        <w:t>DIRECCIÓN NACIONAL DE ASESORÍA JURÍDICA INSTITUCIONAL</w:t>
      </w:r>
    </w:p>
    <w:p w:rsidR="00097267" w:rsidRPr="008F5678" w:rsidRDefault="00097267" w:rsidP="00097267">
      <w:pPr>
        <w:spacing w:after="0" w:line="240" w:lineRule="auto"/>
        <w:jc w:val="center"/>
        <w:rPr>
          <w:rFonts w:ascii="Bookman Old Style" w:hAnsi="Bookman Old Style"/>
          <w:b/>
          <w:sz w:val="24"/>
          <w:szCs w:val="24"/>
          <w:lang w:val="es-MX"/>
        </w:rPr>
      </w:pPr>
      <w:r w:rsidRPr="008F5678">
        <w:rPr>
          <w:rFonts w:ascii="Bookman Old Style" w:hAnsi="Bookman Old Style"/>
          <w:b/>
          <w:sz w:val="24"/>
          <w:szCs w:val="24"/>
          <w:lang w:val="es-MX"/>
        </w:rPr>
        <w:t>EXTRACTOS DE CONSULTAS</w:t>
      </w:r>
    </w:p>
    <w:p w:rsidR="00097267" w:rsidRPr="008F5678" w:rsidRDefault="00790735" w:rsidP="00097267">
      <w:pPr>
        <w:spacing w:after="0" w:line="240" w:lineRule="auto"/>
        <w:jc w:val="center"/>
        <w:rPr>
          <w:rFonts w:ascii="Bookman Old Style" w:hAnsi="Bookman Old Style"/>
          <w:b/>
          <w:sz w:val="24"/>
          <w:szCs w:val="24"/>
          <w:lang w:val="es-MX"/>
        </w:rPr>
      </w:pPr>
      <w:r w:rsidRPr="008F5678">
        <w:rPr>
          <w:rFonts w:ascii="Bookman Old Style" w:hAnsi="Bookman Old Style"/>
          <w:b/>
          <w:sz w:val="24"/>
          <w:szCs w:val="24"/>
          <w:lang w:val="es-MX"/>
        </w:rPr>
        <w:t xml:space="preserve">JUNIO </w:t>
      </w:r>
      <w:r w:rsidR="0079152D" w:rsidRPr="008F5678">
        <w:rPr>
          <w:rFonts w:ascii="Bookman Old Style" w:hAnsi="Bookman Old Style"/>
          <w:b/>
          <w:sz w:val="24"/>
          <w:szCs w:val="24"/>
          <w:lang w:val="es-MX"/>
        </w:rPr>
        <w:t xml:space="preserve"> </w:t>
      </w:r>
      <w:r w:rsidR="00022ACE" w:rsidRPr="008F5678">
        <w:rPr>
          <w:rFonts w:ascii="Bookman Old Style" w:hAnsi="Bookman Old Style"/>
          <w:b/>
          <w:sz w:val="24"/>
          <w:szCs w:val="24"/>
          <w:lang w:val="es-MX"/>
        </w:rPr>
        <w:t>2015</w:t>
      </w:r>
    </w:p>
    <w:p w:rsidR="007E2183" w:rsidRPr="008F5678" w:rsidRDefault="007E2183" w:rsidP="00097267">
      <w:pPr>
        <w:spacing w:after="0" w:line="240" w:lineRule="auto"/>
        <w:jc w:val="center"/>
        <w:rPr>
          <w:rFonts w:ascii="Bookman Old Style" w:hAnsi="Bookman Old Style"/>
          <w:b/>
          <w:sz w:val="24"/>
          <w:szCs w:val="24"/>
          <w:lang w:val="es-MX"/>
        </w:rPr>
      </w:pPr>
    </w:p>
    <w:p w:rsidR="005724F5" w:rsidRPr="008F5678" w:rsidRDefault="005724F5" w:rsidP="00097267">
      <w:pPr>
        <w:spacing w:after="0" w:line="240" w:lineRule="auto"/>
        <w:jc w:val="center"/>
        <w:rPr>
          <w:rFonts w:ascii="Bookman Old Style" w:hAnsi="Bookman Old Style"/>
          <w:b/>
          <w:sz w:val="24"/>
          <w:szCs w:val="24"/>
          <w:lang w:val="es-MX"/>
        </w:rPr>
      </w:pPr>
    </w:p>
    <w:p w:rsidR="00473831" w:rsidRPr="008F5678" w:rsidRDefault="00866A75" w:rsidP="00DB0183">
      <w:pPr>
        <w:spacing w:after="0" w:line="240" w:lineRule="auto"/>
        <w:jc w:val="center"/>
        <w:rPr>
          <w:rFonts w:ascii="Bookman Old Style" w:hAnsi="Bookman Old Style"/>
          <w:b/>
          <w:sz w:val="24"/>
          <w:szCs w:val="24"/>
          <w:lang w:val="es-MX"/>
        </w:rPr>
      </w:pPr>
      <w:r w:rsidRPr="008F5678">
        <w:rPr>
          <w:rFonts w:ascii="Bookman Old Style" w:hAnsi="Bookman Old Style"/>
          <w:b/>
          <w:sz w:val="24"/>
          <w:szCs w:val="24"/>
          <w:lang w:val="es-MX"/>
        </w:rPr>
        <w:t>ACTOS ADMINISTRATIVOS: LESIVIDAD</w:t>
      </w:r>
    </w:p>
    <w:p w:rsidR="00866A75" w:rsidRPr="008F5678" w:rsidRDefault="00866A75" w:rsidP="00DB0183">
      <w:pPr>
        <w:spacing w:after="0" w:line="240" w:lineRule="auto"/>
        <w:jc w:val="center"/>
        <w:rPr>
          <w:rFonts w:ascii="Bookman Old Style" w:hAnsi="Bookman Old Style"/>
          <w:b/>
          <w:sz w:val="24"/>
          <w:szCs w:val="24"/>
          <w:lang w:val="es-MX"/>
        </w:rPr>
      </w:pPr>
    </w:p>
    <w:p w:rsidR="00DB0183" w:rsidRPr="008F5678" w:rsidRDefault="00DB0183" w:rsidP="00DB0183">
      <w:pPr>
        <w:spacing w:line="240" w:lineRule="auto"/>
        <w:jc w:val="both"/>
        <w:rPr>
          <w:rFonts w:ascii="Bookman Old Style" w:hAnsi="Bookman Old Style"/>
          <w:b/>
          <w:sz w:val="24"/>
          <w:szCs w:val="24"/>
          <w:u w:val="single"/>
          <w:lang w:val="es-MX"/>
        </w:rPr>
      </w:pPr>
      <w:r w:rsidRPr="008F5678">
        <w:rPr>
          <w:rFonts w:ascii="Bookman Old Style" w:hAnsi="Bookman Old Style"/>
          <w:b/>
          <w:sz w:val="24"/>
          <w:szCs w:val="24"/>
        </w:rPr>
        <w:t>OF. PGE. N°:</w:t>
      </w:r>
      <w:r w:rsidR="00790735" w:rsidRPr="008F5678">
        <w:rPr>
          <w:rFonts w:ascii="Bookman Old Style" w:hAnsi="Bookman Old Style"/>
          <w:b/>
          <w:sz w:val="24"/>
          <w:szCs w:val="24"/>
        </w:rPr>
        <w:t xml:space="preserve"> </w:t>
      </w:r>
      <w:r w:rsidR="00790735" w:rsidRPr="008F5678">
        <w:rPr>
          <w:rFonts w:ascii="Bookman Old Style" w:hAnsi="Bookman Old Style"/>
          <w:sz w:val="24"/>
          <w:szCs w:val="24"/>
        </w:rPr>
        <w:t>01671</w:t>
      </w:r>
      <w:r w:rsidRPr="008F5678">
        <w:rPr>
          <w:rFonts w:ascii="Bookman Old Style" w:hAnsi="Bookman Old Style"/>
          <w:b/>
          <w:sz w:val="24"/>
          <w:szCs w:val="24"/>
        </w:rPr>
        <w:t xml:space="preserve"> </w:t>
      </w:r>
      <w:r w:rsidR="003C41D2" w:rsidRPr="008F5678">
        <w:rPr>
          <w:rFonts w:ascii="Bookman Old Style" w:hAnsi="Bookman Old Style"/>
          <w:sz w:val="24"/>
          <w:szCs w:val="24"/>
        </w:rPr>
        <w:t xml:space="preserve"> </w:t>
      </w:r>
      <w:r w:rsidR="00C81F29" w:rsidRPr="008F5678">
        <w:rPr>
          <w:rFonts w:ascii="Bookman Old Style" w:hAnsi="Bookman Old Style"/>
          <w:sz w:val="24"/>
          <w:szCs w:val="24"/>
        </w:rPr>
        <w:t xml:space="preserve">de </w:t>
      </w:r>
      <w:r w:rsidR="004B5B71" w:rsidRPr="008F5678">
        <w:rPr>
          <w:rFonts w:ascii="Bookman Old Style" w:hAnsi="Bookman Old Style"/>
          <w:sz w:val="24"/>
          <w:szCs w:val="24"/>
        </w:rPr>
        <w:t>2</w:t>
      </w:r>
      <w:r w:rsidR="00790735" w:rsidRPr="008F5678">
        <w:rPr>
          <w:rFonts w:ascii="Bookman Old Style" w:hAnsi="Bookman Old Style"/>
          <w:sz w:val="24"/>
          <w:szCs w:val="24"/>
        </w:rPr>
        <w:t>6</w:t>
      </w:r>
      <w:r w:rsidR="003C41D2" w:rsidRPr="008F5678">
        <w:rPr>
          <w:rFonts w:ascii="Bookman Old Style" w:hAnsi="Bookman Old Style"/>
          <w:sz w:val="24"/>
          <w:szCs w:val="24"/>
        </w:rPr>
        <w:t>-0</w:t>
      </w:r>
      <w:r w:rsidR="00790735" w:rsidRPr="008F5678">
        <w:rPr>
          <w:rFonts w:ascii="Bookman Old Style" w:hAnsi="Bookman Old Style"/>
          <w:sz w:val="24"/>
          <w:szCs w:val="24"/>
        </w:rPr>
        <w:t>6</w:t>
      </w:r>
      <w:r w:rsidRPr="008F5678">
        <w:rPr>
          <w:rFonts w:ascii="Bookman Old Style" w:hAnsi="Bookman Old Style"/>
          <w:sz w:val="24"/>
          <w:szCs w:val="24"/>
        </w:rPr>
        <w:t>-201</w:t>
      </w:r>
      <w:r w:rsidR="003C41D2" w:rsidRPr="008F5678">
        <w:rPr>
          <w:rFonts w:ascii="Bookman Old Style" w:hAnsi="Bookman Old Style"/>
          <w:sz w:val="24"/>
          <w:szCs w:val="24"/>
        </w:rPr>
        <w:t>5</w:t>
      </w:r>
    </w:p>
    <w:p w:rsidR="00DB0183" w:rsidRPr="008F5678" w:rsidRDefault="00DB0183" w:rsidP="00DB0183">
      <w:pPr>
        <w:spacing w:after="0" w:line="240" w:lineRule="auto"/>
        <w:jc w:val="both"/>
        <w:rPr>
          <w:rFonts w:ascii="Bookman Old Style" w:hAnsi="Bookman Old Style"/>
          <w:b/>
          <w:sz w:val="24"/>
          <w:szCs w:val="24"/>
        </w:rPr>
      </w:pPr>
    </w:p>
    <w:p w:rsidR="00866A75" w:rsidRPr="008F5678" w:rsidRDefault="00DB0183" w:rsidP="00866A75">
      <w:pPr>
        <w:spacing w:after="0" w:line="240" w:lineRule="auto"/>
        <w:jc w:val="both"/>
        <w:rPr>
          <w:rFonts w:ascii="Bookman Old Style" w:eastAsia="Times New Roman" w:hAnsi="Bookman Old Style"/>
          <w:sz w:val="24"/>
          <w:szCs w:val="24"/>
          <w:lang w:val="es-ES" w:eastAsia="es-ES"/>
        </w:rPr>
      </w:pPr>
      <w:r w:rsidRPr="008F5678">
        <w:rPr>
          <w:rFonts w:ascii="Bookman Old Style" w:hAnsi="Bookman Old Style"/>
          <w:b/>
          <w:sz w:val="24"/>
          <w:szCs w:val="24"/>
        </w:rPr>
        <w:t>CONSULTANTE:</w:t>
      </w:r>
      <w:r w:rsidR="00866A75" w:rsidRPr="008F5678">
        <w:rPr>
          <w:rFonts w:ascii="Bookman Old Style" w:hAnsi="Bookman Old Style"/>
          <w:b/>
          <w:sz w:val="24"/>
          <w:szCs w:val="24"/>
        </w:rPr>
        <w:t xml:space="preserve"> </w:t>
      </w:r>
      <w:r w:rsidR="00866A75" w:rsidRPr="008F5678">
        <w:rPr>
          <w:rFonts w:ascii="Bookman Old Style" w:eastAsia="Times New Roman" w:hAnsi="Bookman Old Style"/>
          <w:sz w:val="24"/>
          <w:szCs w:val="24"/>
          <w:lang w:val="es-ES" w:eastAsia="es-ES"/>
        </w:rPr>
        <w:t>GOBIERNO AUTÓNOMO DESCENTRALIZADO</w:t>
      </w:r>
    </w:p>
    <w:p w:rsidR="00866A75" w:rsidRPr="008F5678" w:rsidRDefault="00866A75" w:rsidP="00866A75">
      <w:pPr>
        <w:spacing w:after="0" w:line="240" w:lineRule="auto"/>
        <w:jc w:val="both"/>
        <w:rPr>
          <w:rFonts w:ascii="Bookman Old Style" w:eastAsia="Times New Roman" w:hAnsi="Bookman Old Style"/>
          <w:sz w:val="24"/>
          <w:szCs w:val="24"/>
          <w:lang w:val="es-ES" w:eastAsia="es-ES"/>
        </w:rPr>
      </w:pPr>
      <w:r w:rsidRPr="008F5678">
        <w:rPr>
          <w:rFonts w:ascii="Bookman Old Style" w:eastAsia="Times New Roman" w:hAnsi="Bookman Old Style"/>
          <w:sz w:val="24"/>
          <w:szCs w:val="24"/>
          <w:lang w:val="es-ES" w:eastAsia="es-ES"/>
        </w:rPr>
        <w:t>MUNICIPAL DEL CANTÓN RIOBAMBA</w:t>
      </w:r>
    </w:p>
    <w:p w:rsidR="00866A75" w:rsidRPr="008F5678" w:rsidRDefault="00866A75" w:rsidP="00DB0183">
      <w:pPr>
        <w:spacing w:line="240" w:lineRule="auto"/>
        <w:rPr>
          <w:rFonts w:ascii="Bookman Old Style" w:hAnsi="Bookman Old Style"/>
          <w:b/>
          <w:sz w:val="24"/>
          <w:szCs w:val="24"/>
          <w:lang w:val="es-MX"/>
        </w:rPr>
      </w:pPr>
    </w:p>
    <w:p w:rsidR="00DB0183" w:rsidRPr="008F5678" w:rsidRDefault="00DB0183" w:rsidP="00DB0183">
      <w:pPr>
        <w:spacing w:line="240" w:lineRule="auto"/>
        <w:rPr>
          <w:rFonts w:ascii="Bookman Old Style" w:hAnsi="Bookman Old Style"/>
          <w:b/>
          <w:sz w:val="24"/>
          <w:szCs w:val="24"/>
          <w:lang w:val="es-MX"/>
        </w:rPr>
      </w:pPr>
      <w:r w:rsidRPr="008F5678">
        <w:rPr>
          <w:rFonts w:ascii="Bookman Old Style" w:hAnsi="Bookman Old Style"/>
          <w:b/>
          <w:sz w:val="24"/>
          <w:szCs w:val="24"/>
          <w:lang w:val="es-MX"/>
        </w:rPr>
        <w:t>CONSULTA:</w:t>
      </w:r>
    </w:p>
    <w:p w:rsidR="00790735" w:rsidRPr="008F5678" w:rsidRDefault="00790735" w:rsidP="00790735">
      <w:pPr>
        <w:spacing w:line="240" w:lineRule="auto"/>
        <w:jc w:val="both"/>
        <w:rPr>
          <w:rFonts w:ascii="Bookman Old Style" w:hAnsi="Bookman Old Style"/>
          <w:sz w:val="24"/>
          <w:szCs w:val="24"/>
          <w:lang w:val="es-MX"/>
        </w:rPr>
      </w:pPr>
      <w:r w:rsidRPr="008F5678">
        <w:rPr>
          <w:rFonts w:ascii="Bookman Old Style" w:hAnsi="Bookman Old Style"/>
          <w:sz w:val="24"/>
          <w:szCs w:val="24"/>
        </w:rPr>
        <w:t>“De conformidad con lo establecido en el artículo 373 del COOTAD, previa a su extinción se deben declarar lesivos para el interés público los actos administrativos que contengan vicios convalidables, ¿En el caso de que el acto administrativo contenga vicios que impiden su convalidación, se debe o no declarar lesivo previo a su impugnación ante el orden jurisdiccional contencioso administrativo, a fin de extinguirlo?”.</w:t>
      </w:r>
    </w:p>
    <w:p w:rsidR="00DB0183" w:rsidRPr="008F5678" w:rsidRDefault="00DB0183" w:rsidP="00DB0183">
      <w:pPr>
        <w:widowControl w:val="0"/>
        <w:autoSpaceDE w:val="0"/>
        <w:autoSpaceDN w:val="0"/>
        <w:adjustRightInd w:val="0"/>
        <w:jc w:val="both"/>
        <w:rPr>
          <w:rFonts w:ascii="Bookman Old Style" w:hAnsi="Bookman Old Style" w:cs="Bookman Old Style"/>
          <w:b/>
          <w:bCs/>
          <w:sz w:val="24"/>
          <w:szCs w:val="24"/>
          <w:lang w:val="es-ES_tradnl"/>
        </w:rPr>
      </w:pPr>
      <w:r w:rsidRPr="008F5678">
        <w:rPr>
          <w:rFonts w:ascii="Bookman Old Style" w:hAnsi="Bookman Old Style" w:cs="Bookman Old Style"/>
          <w:b/>
          <w:bCs/>
          <w:sz w:val="24"/>
          <w:szCs w:val="24"/>
          <w:lang w:val="es-ES_tradnl"/>
        </w:rPr>
        <w:t xml:space="preserve">PRONUNCIAMIENTO: </w:t>
      </w:r>
    </w:p>
    <w:p w:rsidR="00790735" w:rsidRPr="008F5678" w:rsidRDefault="00790735" w:rsidP="00790735">
      <w:pPr>
        <w:jc w:val="both"/>
        <w:rPr>
          <w:rFonts w:ascii="Bookman Old Style" w:hAnsi="Bookman Old Style"/>
          <w:sz w:val="24"/>
          <w:szCs w:val="24"/>
          <w:shd w:val="clear" w:color="auto" w:fill="FFFFFF"/>
        </w:rPr>
      </w:pPr>
      <w:r w:rsidRPr="008F5678">
        <w:rPr>
          <w:rFonts w:ascii="Bookman Old Style" w:hAnsi="Bookman Old Style"/>
          <w:sz w:val="24"/>
          <w:szCs w:val="24"/>
        </w:rPr>
        <w:t xml:space="preserve">De conformidad con los artículos 368 y 373 del Código Orgánico de Organización Territorial, Autonomía y Descentralización, corresponde a la misma autoridad que expidió el acto, o a su superior jerárquico, </w:t>
      </w:r>
      <w:r w:rsidRPr="008F5678">
        <w:rPr>
          <w:rFonts w:ascii="Bookman Old Style" w:hAnsi="Bookman Old Style"/>
          <w:sz w:val="24"/>
          <w:szCs w:val="24"/>
          <w:shd w:val="clear" w:color="auto" w:fill="FFFFFF"/>
        </w:rPr>
        <w:t>de oficio o a petición de parte, declarar lesivos para el interés público los actos administrativos regulares que generen derechos para el administrado, esto es aquellos actos administrativos que sean válidos (sin vicios) o que contengan vicios convalidables, cuya ulterior impugnación procede ante la justicia contenciosa administrativa mediante la acción de lesividad.</w:t>
      </w:r>
    </w:p>
    <w:p w:rsidR="00790735" w:rsidRPr="008F5678" w:rsidRDefault="00790735" w:rsidP="00790735">
      <w:pPr>
        <w:jc w:val="both"/>
        <w:rPr>
          <w:rFonts w:ascii="Bookman Old Style" w:hAnsi="Bookman Old Style"/>
          <w:sz w:val="24"/>
          <w:szCs w:val="24"/>
          <w:shd w:val="clear" w:color="auto" w:fill="FFFFFF"/>
        </w:rPr>
      </w:pPr>
    </w:p>
    <w:p w:rsidR="00790735" w:rsidRPr="008F5678" w:rsidRDefault="00790735" w:rsidP="00790735">
      <w:pPr>
        <w:jc w:val="both"/>
        <w:rPr>
          <w:rFonts w:ascii="Bookman Old Style" w:hAnsi="Bookman Old Style"/>
          <w:color w:val="0000FF"/>
          <w:sz w:val="24"/>
          <w:szCs w:val="24"/>
          <w:shd w:val="clear" w:color="auto" w:fill="FFFFFF"/>
        </w:rPr>
      </w:pPr>
      <w:r w:rsidRPr="008F5678">
        <w:rPr>
          <w:rFonts w:ascii="Bookman Old Style" w:hAnsi="Bookman Old Style"/>
          <w:sz w:val="24"/>
          <w:szCs w:val="24"/>
          <w:shd w:val="clear" w:color="auto" w:fill="FFFFFF"/>
        </w:rPr>
        <w:t>Mientras que,</w:t>
      </w:r>
      <w:r w:rsidRPr="008F5678">
        <w:rPr>
          <w:rFonts w:ascii="Bookman Old Style" w:hAnsi="Bookman Old Style"/>
          <w:sz w:val="24"/>
          <w:szCs w:val="24"/>
        </w:rPr>
        <w:t xml:space="preserve"> según los artículos 370 y 371 del mismo Código Orgánico, </w:t>
      </w:r>
      <w:r w:rsidRPr="008F5678">
        <w:rPr>
          <w:rFonts w:ascii="Bookman Old Style" w:hAnsi="Bookman Old Style"/>
          <w:sz w:val="24"/>
          <w:szCs w:val="24"/>
          <w:shd w:val="clear" w:color="auto" w:fill="FFFFFF"/>
        </w:rPr>
        <w:t xml:space="preserve">cuando el acto administrativo contiene vicios que no pueden ser </w:t>
      </w:r>
      <w:r w:rsidRPr="008F5678">
        <w:rPr>
          <w:rFonts w:ascii="Bookman Old Style" w:hAnsi="Bookman Old Style"/>
          <w:sz w:val="24"/>
          <w:szCs w:val="24"/>
          <w:shd w:val="clear" w:color="auto" w:fill="FFFFFF"/>
        </w:rPr>
        <w:lastRenderedPageBreak/>
        <w:t>convalidados o subsanados, es un acto nulo de pleno derecho, irregular, cuya extinción de oficio por razones de legitimidad, corresponde a la misma autoridad que expidió el acto que se extingue, quien la sustituya o su superior jerárquico, sin que en tal caso preceda la declaratoria de lesividad. Lo dicho sin perjuicio del derecho que le asiste al administrado de impugnar en vía judicial los actos y resoluciones de la Administración Pública.</w:t>
      </w:r>
    </w:p>
    <w:p w:rsidR="00790735" w:rsidRPr="008F5678" w:rsidRDefault="00790735" w:rsidP="00790735">
      <w:pPr>
        <w:jc w:val="both"/>
        <w:rPr>
          <w:rFonts w:ascii="Bookman Old Style" w:hAnsi="Bookman Old Style"/>
          <w:sz w:val="24"/>
          <w:szCs w:val="24"/>
        </w:rPr>
      </w:pPr>
      <w:r w:rsidRPr="008F5678">
        <w:rPr>
          <w:rFonts w:ascii="Bookman Old Style" w:hAnsi="Bookman Old Style"/>
          <w:sz w:val="24"/>
          <w:szCs w:val="24"/>
          <w:shd w:val="clear" w:color="auto" w:fill="FFFFFF"/>
        </w:rPr>
        <w:t>El presente pronunciamiento se limita a la inteligencia y aplicación de normas jurídicas, siendo responsabilidad exclusiva del Gobierno Autónomo Descentralizado consultante, la calificación de los vicios de los actos administrativos específicos, así como</w:t>
      </w:r>
      <w:r w:rsidRPr="008F5678">
        <w:rPr>
          <w:rFonts w:ascii="Bookman Old Style" w:hAnsi="Bookman Old Style"/>
          <w:sz w:val="24"/>
          <w:szCs w:val="24"/>
        </w:rPr>
        <w:t xml:space="preserve"> las acciones administrativas o judiciales que llegare a implementar.</w:t>
      </w:r>
    </w:p>
    <w:p w:rsidR="007E2183" w:rsidRPr="008F5678" w:rsidRDefault="007E2183" w:rsidP="007E2183">
      <w:pPr>
        <w:pBdr>
          <w:bottom w:val="single" w:sz="6" w:space="1" w:color="auto"/>
        </w:pBdr>
        <w:jc w:val="both"/>
        <w:rPr>
          <w:rFonts w:ascii="Bookman Old Style" w:hAnsi="Bookman Old Style"/>
          <w:sz w:val="24"/>
          <w:szCs w:val="24"/>
        </w:rPr>
      </w:pPr>
    </w:p>
    <w:p w:rsidR="005724F5" w:rsidRPr="008F5678" w:rsidRDefault="005724F5" w:rsidP="00097267">
      <w:pPr>
        <w:spacing w:after="0" w:line="240" w:lineRule="auto"/>
        <w:jc w:val="center"/>
        <w:rPr>
          <w:rFonts w:ascii="Bookman Old Style" w:hAnsi="Bookman Old Style"/>
          <w:b/>
          <w:sz w:val="24"/>
          <w:szCs w:val="24"/>
          <w:lang w:val="es-MX"/>
        </w:rPr>
      </w:pPr>
    </w:p>
    <w:p w:rsidR="00EB2CB0" w:rsidRPr="008F5678" w:rsidRDefault="00866A75" w:rsidP="00097267">
      <w:pPr>
        <w:spacing w:after="0" w:line="240" w:lineRule="auto"/>
        <w:jc w:val="center"/>
        <w:rPr>
          <w:rFonts w:ascii="Bookman Old Style" w:hAnsi="Bookman Old Style"/>
          <w:b/>
          <w:sz w:val="24"/>
          <w:szCs w:val="24"/>
          <w:lang w:val="es-MX"/>
        </w:rPr>
      </w:pPr>
      <w:r w:rsidRPr="008F5678">
        <w:rPr>
          <w:rFonts w:ascii="Bookman Old Style" w:hAnsi="Bookman Old Style"/>
          <w:b/>
          <w:sz w:val="24"/>
          <w:szCs w:val="24"/>
          <w:lang w:val="es-MX"/>
        </w:rPr>
        <w:t xml:space="preserve">SAYCE: ESPECTÁCULOS PÚBLICOS </w:t>
      </w:r>
    </w:p>
    <w:p w:rsidR="00866A75" w:rsidRPr="008F5678" w:rsidRDefault="00866A75" w:rsidP="00097267">
      <w:pPr>
        <w:spacing w:after="0" w:line="240" w:lineRule="auto"/>
        <w:jc w:val="center"/>
        <w:rPr>
          <w:rFonts w:ascii="Bookman Old Style" w:hAnsi="Bookman Old Style"/>
          <w:b/>
          <w:sz w:val="24"/>
          <w:szCs w:val="24"/>
          <w:lang w:val="es-MX"/>
        </w:rPr>
      </w:pPr>
    </w:p>
    <w:p w:rsidR="0079152D" w:rsidRPr="008F5678" w:rsidRDefault="0079152D" w:rsidP="0079152D">
      <w:pPr>
        <w:spacing w:line="240" w:lineRule="auto"/>
        <w:jc w:val="both"/>
        <w:rPr>
          <w:rFonts w:ascii="Bookman Old Style" w:hAnsi="Bookman Old Style"/>
          <w:b/>
          <w:sz w:val="24"/>
          <w:szCs w:val="24"/>
          <w:u w:val="single"/>
          <w:lang w:val="es-MX"/>
        </w:rPr>
      </w:pPr>
      <w:r w:rsidRPr="008F5678">
        <w:rPr>
          <w:rFonts w:ascii="Bookman Old Style" w:hAnsi="Bookman Old Style"/>
          <w:b/>
          <w:sz w:val="24"/>
          <w:szCs w:val="24"/>
        </w:rPr>
        <w:t xml:space="preserve">OF. PGE. N°: </w:t>
      </w:r>
      <w:r w:rsidR="00866A75" w:rsidRPr="008F5678">
        <w:rPr>
          <w:rFonts w:ascii="Bookman Old Style" w:hAnsi="Bookman Old Style"/>
          <w:sz w:val="24"/>
          <w:szCs w:val="24"/>
        </w:rPr>
        <w:t>01418</w:t>
      </w:r>
      <w:r w:rsidR="00866A75" w:rsidRPr="008F5678">
        <w:rPr>
          <w:rFonts w:ascii="Bookman Old Style" w:hAnsi="Bookman Old Style"/>
          <w:b/>
          <w:sz w:val="24"/>
          <w:szCs w:val="24"/>
        </w:rPr>
        <w:t xml:space="preserve"> </w:t>
      </w:r>
      <w:r w:rsidRPr="008F5678">
        <w:rPr>
          <w:rFonts w:ascii="Bookman Old Style" w:hAnsi="Bookman Old Style"/>
          <w:sz w:val="24"/>
          <w:szCs w:val="24"/>
        </w:rPr>
        <w:t xml:space="preserve">de </w:t>
      </w:r>
      <w:r w:rsidR="00866A75" w:rsidRPr="008F5678">
        <w:rPr>
          <w:rFonts w:ascii="Bookman Old Style" w:hAnsi="Bookman Old Style"/>
          <w:sz w:val="24"/>
          <w:szCs w:val="24"/>
        </w:rPr>
        <w:t>04</w:t>
      </w:r>
      <w:r w:rsidRPr="008F5678">
        <w:rPr>
          <w:rFonts w:ascii="Bookman Old Style" w:hAnsi="Bookman Old Style"/>
          <w:sz w:val="24"/>
          <w:szCs w:val="24"/>
        </w:rPr>
        <w:t>-0</w:t>
      </w:r>
      <w:r w:rsidR="00790735" w:rsidRPr="008F5678">
        <w:rPr>
          <w:rFonts w:ascii="Bookman Old Style" w:hAnsi="Bookman Old Style"/>
          <w:sz w:val="24"/>
          <w:szCs w:val="24"/>
        </w:rPr>
        <w:t>6</w:t>
      </w:r>
      <w:r w:rsidRPr="008F5678">
        <w:rPr>
          <w:rFonts w:ascii="Bookman Old Style" w:hAnsi="Bookman Old Style"/>
          <w:sz w:val="24"/>
          <w:szCs w:val="24"/>
        </w:rPr>
        <w:t>-2015</w:t>
      </w:r>
    </w:p>
    <w:p w:rsidR="0079152D" w:rsidRPr="008F5678" w:rsidRDefault="0079152D" w:rsidP="0079152D">
      <w:pPr>
        <w:spacing w:after="0" w:line="240" w:lineRule="auto"/>
        <w:jc w:val="both"/>
        <w:rPr>
          <w:rFonts w:ascii="Bookman Old Style" w:hAnsi="Bookman Old Style"/>
          <w:b/>
          <w:sz w:val="24"/>
          <w:szCs w:val="24"/>
        </w:rPr>
      </w:pPr>
    </w:p>
    <w:p w:rsidR="00866A75" w:rsidRPr="008F5678" w:rsidRDefault="0079152D" w:rsidP="00866A75">
      <w:pPr>
        <w:spacing w:after="0" w:line="240" w:lineRule="auto"/>
        <w:jc w:val="both"/>
        <w:rPr>
          <w:rFonts w:ascii="Bookman Old Style" w:eastAsia="Times New Roman" w:hAnsi="Bookman Old Style"/>
          <w:sz w:val="24"/>
          <w:szCs w:val="24"/>
          <w:lang w:val="es-ES" w:eastAsia="es-ES"/>
        </w:rPr>
      </w:pPr>
      <w:r w:rsidRPr="008F5678">
        <w:rPr>
          <w:rFonts w:ascii="Bookman Old Style" w:hAnsi="Bookman Old Style"/>
          <w:b/>
          <w:sz w:val="24"/>
          <w:szCs w:val="24"/>
        </w:rPr>
        <w:t xml:space="preserve">CONSULTANTE: </w:t>
      </w:r>
      <w:r w:rsidR="00866A75" w:rsidRPr="008F5678">
        <w:rPr>
          <w:rFonts w:ascii="Bookman Old Style" w:eastAsia="Times New Roman" w:hAnsi="Bookman Old Style"/>
          <w:sz w:val="24"/>
          <w:szCs w:val="24"/>
          <w:lang w:val="es-ES" w:eastAsia="es-ES"/>
        </w:rPr>
        <w:t>GOBIERNO AUTÓNOMO DESCENTRALIZADO</w:t>
      </w:r>
    </w:p>
    <w:p w:rsidR="00866A75" w:rsidRPr="008F5678" w:rsidRDefault="00866A75" w:rsidP="00866A75">
      <w:pPr>
        <w:spacing w:after="0" w:line="240" w:lineRule="auto"/>
        <w:jc w:val="both"/>
        <w:rPr>
          <w:rFonts w:ascii="Bookman Old Style" w:eastAsia="Times New Roman" w:hAnsi="Bookman Old Style"/>
          <w:sz w:val="24"/>
          <w:szCs w:val="24"/>
          <w:lang w:val="es-ES" w:eastAsia="es-ES"/>
        </w:rPr>
      </w:pPr>
      <w:r w:rsidRPr="008F5678">
        <w:rPr>
          <w:rFonts w:ascii="Bookman Old Style" w:eastAsia="Times New Roman" w:hAnsi="Bookman Old Style"/>
          <w:sz w:val="24"/>
          <w:szCs w:val="24"/>
          <w:lang w:val="es-ES" w:eastAsia="es-ES"/>
        </w:rPr>
        <w:t>MUNICIPAL DEL CANTÓN RIOBAMBA</w:t>
      </w:r>
    </w:p>
    <w:p w:rsidR="008F5EF4" w:rsidRPr="008F5678" w:rsidRDefault="008F5EF4" w:rsidP="008F5EF4">
      <w:pPr>
        <w:rPr>
          <w:rFonts w:ascii="Bookman Old Style" w:hAnsi="Bookman Old Style"/>
          <w:b/>
          <w:color w:val="000000"/>
          <w:sz w:val="24"/>
          <w:szCs w:val="24"/>
        </w:rPr>
      </w:pPr>
    </w:p>
    <w:p w:rsidR="0079152D" w:rsidRPr="008F5678" w:rsidRDefault="0079152D" w:rsidP="0079152D">
      <w:pPr>
        <w:spacing w:line="240" w:lineRule="auto"/>
        <w:rPr>
          <w:rFonts w:ascii="Bookman Old Style" w:hAnsi="Bookman Old Style"/>
          <w:b/>
          <w:sz w:val="24"/>
          <w:szCs w:val="24"/>
          <w:lang w:val="es-MX"/>
        </w:rPr>
      </w:pPr>
      <w:r w:rsidRPr="008F5678">
        <w:rPr>
          <w:rFonts w:ascii="Bookman Old Style" w:hAnsi="Bookman Old Style"/>
          <w:b/>
          <w:sz w:val="24"/>
          <w:szCs w:val="24"/>
          <w:lang w:val="es-MX"/>
        </w:rPr>
        <w:t>CONSULTA</w:t>
      </w:r>
      <w:r w:rsidR="00866A75" w:rsidRPr="008F5678">
        <w:rPr>
          <w:rFonts w:ascii="Bookman Old Style" w:hAnsi="Bookman Old Style"/>
          <w:b/>
          <w:sz w:val="24"/>
          <w:szCs w:val="24"/>
          <w:lang w:val="es-MX"/>
        </w:rPr>
        <w:t>S</w:t>
      </w:r>
      <w:r w:rsidRPr="008F5678">
        <w:rPr>
          <w:rFonts w:ascii="Bookman Old Style" w:hAnsi="Bookman Old Style"/>
          <w:b/>
          <w:sz w:val="24"/>
          <w:szCs w:val="24"/>
          <w:lang w:val="es-MX"/>
        </w:rPr>
        <w:t>:</w:t>
      </w:r>
    </w:p>
    <w:p w:rsidR="00866A75" w:rsidRPr="008F5678" w:rsidRDefault="00866A75" w:rsidP="0079152D">
      <w:pPr>
        <w:spacing w:line="240" w:lineRule="auto"/>
        <w:rPr>
          <w:rFonts w:ascii="Bookman Old Style" w:hAnsi="Bookman Old Style"/>
          <w:b/>
          <w:sz w:val="24"/>
          <w:szCs w:val="24"/>
          <w:lang w:val="es-MX"/>
        </w:rPr>
      </w:pPr>
    </w:p>
    <w:p w:rsidR="00866A75" w:rsidRPr="008F5678" w:rsidRDefault="00866A75" w:rsidP="00866A75">
      <w:pPr>
        <w:pStyle w:val="Prrafodelista"/>
        <w:numPr>
          <w:ilvl w:val="0"/>
          <w:numId w:val="34"/>
        </w:numPr>
        <w:spacing w:after="0" w:line="240" w:lineRule="auto"/>
        <w:jc w:val="both"/>
        <w:rPr>
          <w:rFonts w:ascii="Bookman Old Style" w:hAnsi="Bookman Old Style"/>
          <w:sz w:val="24"/>
          <w:szCs w:val="24"/>
        </w:rPr>
      </w:pPr>
      <w:r w:rsidRPr="008F5678">
        <w:rPr>
          <w:rFonts w:ascii="Bookman Old Style" w:hAnsi="Bookman Old Style"/>
          <w:sz w:val="24"/>
          <w:szCs w:val="24"/>
        </w:rPr>
        <w:t>“¿Las disposiciones de la Ley de Propiedad Intelectual y la Resolución No. 001-2012 del Instituto Ecuatoriano de Propiedad Intelectual (IEPI), publicado en el Registro Oficial No. 653 de 5 de marzo de 2012, que establecen derechos y tarifas a ser cancelados a favor de la Sociedad General  de Autores y Compositores (SAYCE) y la Federación Nacional de Artistas Profesionales del Ecuador (FENARPE), como requisito previo a la organización de espectáculos públicos, siguen vigentes o también han sido derogadas por la Disposición Derogatoria Segunda de la Ley Orgánica de Comunicación, publicada en el Suplemento del Registro Oficial No. 22, de 25 de junio de 2013, que de manera expresa deroga la Disposición Transitoria Sexta de la Ley de Propiedad Intelectual, el artículo 16 y 31 de la Ley de Defensa Profesional de Artistas, y todas aquellas disposiciones de igual o menor jerarquía que creen preasignaciones a favor de SAYCE Y FENARPE?”.</w:t>
      </w:r>
    </w:p>
    <w:p w:rsidR="00866A75" w:rsidRPr="008F5678" w:rsidRDefault="00866A75" w:rsidP="00866A75">
      <w:pPr>
        <w:spacing w:after="0" w:line="240" w:lineRule="auto"/>
        <w:jc w:val="both"/>
        <w:rPr>
          <w:rFonts w:ascii="Bookman Old Style" w:hAnsi="Bookman Old Style"/>
          <w:sz w:val="24"/>
          <w:szCs w:val="24"/>
        </w:rPr>
      </w:pPr>
    </w:p>
    <w:p w:rsidR="00866A75" w:rsidRPr="008F5678" w:rsidRDefault="00866A75" w:rsidP="00866A75">
      <w:pPr>
        <w:pStyle w:val="Prrafodelista"/>
        <w:numPr>
          <w:ilvl w:val="0"/>
          <w:numId w:val="34"/>
        </w:numPr>
        <w:spacing w:after="0" w:line="240" w:lineRule="auto"/>
        <w:jc w:val="both"/>
        <w:rPr>
          <w:rFonts w:ascii="Bookman Old Style" w:hAnsi="Bookman Old Style"/>
          <w:sz w:val="24"/>
          <w:szCs w:val="24"/>
        </w:rPr>
      </w:pPr>
      <w:r w:rsidRPr="008F5678">
        <w:rPr>
          <w:rFonts w:ascii="Bookman Old Style" w:hAnsi="Bookman Old Style"/>
          <w:sz w:val="24"/>
          <w:szCs w:val="24"/>
        </w:rPr>
        <w:t xml:space="preserve">“¿Tal derogación de derechos y tarifas a favor de SAYCE Y FERNARPE, debe aplicarse en la realización de espectáculos </w:t>
      </w:r>
      <w:r w:rsidRPr="008F5678">
        <w:rPr>
          <w:rFonts w:ascii="Bookman Old Style" w:hAnsi="Bookman Old Style"/>
          <w:sz w:val="24"/>
          <w:szCs w:val="24"/>
        </w:rPr>
        <w:lastRenderedPageBreak/>
        <w:t>públicos que organice directamente el GAD Municipal de Riobamba a través de sus Departamentos de Cultura y Comité de Fiestas, o en los que realizase el GAD municipal de Riobamba a través de empresarios de espectáculos públicos contratados específicamente para ello?”.</w:t>
      </w:r>
    </w:p>
    <w:p w:rsidR="00866A75" w:rsidRPr="008F5678" w:rsidRDefault="00866A75" w:rsidP="00866A75">
      <w:pPr>
        <w:pStyle w:val="Prrafodelista"/>
        <w:spacing w:line="240" w:lineRule="auto"/>
        <w:rPr>
          <w:rFonts w:ascii="Bookman Old Style" w:hAnsi="Bookman Old Style"/>
          <w:b/>
          <w:sz w:val="24"/>
          <w:szCs w:val="24"/>
          <w:lang w:val="es-MX"/>
        </w:rPr>
      </w:pPr>
    </w:p>
    <w:p w:rsidR="008F5EF4" w:rsidRPr="008F5678" w:rsidRDefault="0079152D" w:rsidP="008F5EF4">
      <w:pPr>
        <w:widowControl w:val="0"/>
        <w:autoSpaceDE w:val="0"/>
        <w:autoSpaceDN w:val="0"/>
        <w:adjustRightInd w:val="0"/>
        <w:jc w:val="both"/>
        <w:rPr>
          <w:rFonts w:ascii="Bookman Old Style" w:hAnsi="Bookman Old Style" w:cs="Bookman Old Style"/>
          <w:b/>
          <w:bCs/>
          <w:sz w:val="24"/>
          <w:szCs w:val="24"/>
          <w:lang w:val="es-ES_tradnl"/>
        </w:rPr>
      </w:pPr>
      <w:r w:rsidRPr="008F5678">
        <w:rPr>
          <w:rFonts w:ascii="Bookman Old Style" w:hAnsi="Bookman Old Style" w:cs="Bookman Old Style"/>
          <w:b/>
          <w:bCs/>
          <w:sz w:val="24"/>
          <w:szCs w:val="24"/>
          <w:lang w:val="es-ES_tradnl"/>
        </w:rPr>
        <w:t>PRONUNCIAMIENTO</w:t>
      </w:r>
      <w:r w:rsidR="00866A75" w:rsidRPr="008F5678">
        <w:rPr>
          <w:rFonts w:ascii="Bookman Old Style" w:hAnsi="Bookman Old Style" w:cs="Bookman Old Style"/>
          <w:b/>
          <w:bCs/>
          <w:sz w:val="24"/>
          <w:szCs w:val="24"/>
          <w:lang w:val="es-ES_tradnl"/>
        </w:rPr>
        <w:t>S</w:t>
      </w:r>
      <w:r w:rsidRPr="008F5678">
        <w:rPr>
          <w:rFonts w:ascii="Bookman Old Style" w:hAnsi="Bookman Old Style" w:cs="Bookman Old Style"/>
          <w:b/>
          <w:bCs/>
          <w:sz w:val="24"/>
          <w:szCs w:val="24"/>
          <w:lang w:val="es-ES_tradnl"/>
        </w:rPr>
        <w:t xml:space="preserve">: </w:t>
      </w:r>
    </w:p>
    <w:p w:rsidR="00866A75" w:rsidRPr="008F5678" w:rsidRDefault="00866A75" w:rsidP="00866A75">
      <w:pPr>
        <w:pStyle w:val="Prrafodelista"/>
        <w:numPr>
          <w:ilvl w:val="0"/>
          <w:numId w:val="35"/>
        </w:numPr>
        <w:spacing w:after="0" w:line="240" w:lineRule="auto"/>
        <w:jc w:val="both"/>
        <w:rPr>
          <w:rFonts w:ascii="Bookman Old Style" w:hAnsi="Bookman Old Style"/>
          <w:sz w:val="24"/>
          <w:szCs w:val="24"/>
          <w:shd w:val="clear" w:color="auto" w:fill="FFFFFF"/>
        </w:rPr>
      </w:pPr>
      <w:r w:rsidRPr="008F5678">
        <w:rPr>
          <w:rFonts w:ascii="Bookman Old Style" w:hAnsi="Bookman Old Style"/>
          <w:sz w:val="24"/>
          <w:szCs w:val="24"/>
          <w:shd w:val="clear" w:color="auto" w:fill="FFFFFF"/>
        </w:rPr>
        <w:t xml:space="preserve">Conforme se evidencia de los artículos 16 y 31 (derogados) de la Ley de Defensa Profesional de Artistas, que fueron transcritos en los antecedentes, todo empresario o empleador debía pagar a la Federación Nacional de Artistas Profesionales Ecuatorianos, el valor correspondiente al 10% del monto total de las recaudaciones producidas en las programaciones artísticas, con la salvedad a favor de las programaciones en las que participen únicamente artistas nacionales. Es decir que, el artículo 16 de la Ley de Defensa Profesional de los Artistas, establecía un ingreso a favor de la </w:t>
      </w:r>
      <w:r w:rsidRPr="008F5678">
        <w:rPr>
          <w:rFonts w:ascii="Bookman Old Style" w:eastAsia="Times New Roman" w:hAnsi="Bookman Old Style"/>
          <w:sz w:val="24"/>
          <w:szCs w:val="24"/>
          <w:lang w:val="es-ES" w:eastAsia="es-ES"/>
        </w:rPr>
        <w:t>Federación Nacional de Artistas Profesionales Ecuatorianos (FENARPE) que no se originaba en los derechos de autor, reconocidos nacional e internacionalmente, sino que simplemente obligaba al empresario a destinar el 10% de la recaudación del espectáculo a la indicada organización gremial.</w:t>
      </w:r>
    </w:p>
    <w:p w:rsidR="00866A75" w:rsidRPr="008F5678" w:rsidRDefault="00866A75" w:rsidP="00866A75">
      <w:pPr>
        <w:pStyle w:val="Prrafodelista"/>
        <w:spacing w:after="0" w:line="240" w:lineRule="auto"/>
        <w:jc w:val="both"/>
        <w:rPr>
          <w:rFonts w:ascii="Bookman Old Style" w:eastAsia="Times New Roman" w:hAnsi="Bookman Old Style"/>
          <w:sz w:val="24"/>
          <w:szCs w:val="24"/>
          <w:lang w:val="es-ES" w:eastAsia="es-ES"/>
        </w:rPr>
      </w:pPr>
    </w:p>
    <w:p w:rsidR="00866A75" w:rsidRPr="008F5678" w:rsidRDefault="00866A75" w:rsidP="00866A75">
      <w:pPr>
        <w:pStyle w:val="Prrafodelista"/>
        <w:spacing w:after="0" w:line="240" w:lineRule="auto"/>
        <w:jc w:val="both"/>
        <w:rPr>
          <w:rFonts w:ascii="Bookman Old Style" w:eastAsia="Times New Roman" w:hAnsi="Bookman Old Style"/>
          <w:sz w:val="24"/>
          <w:szCs w:val="24"/>
          <w:lang w:eastAsia="es-ES"/>
        </w:rPr>
      </w:pPr>
      <w:r w:rsidRPr="008F5678">
        <w:rPr>
          <w:rFonts w:ascii="Bookman Old Style" w:hAnsi="Bookman Old Style"/>
          <w:sz w:val="24"/>
          <w:szCs w:val="24"/>
        </w:rPr>
        <w:t xml:space="preserve">Del análisis precedente, en atención a su consulta, se concluye que la Disposición Derogatoria Segunda de la Ley Orgánica de Comunicación, dejó expresamente sin vigencia la Disposición Transitoria Sexta de la Ley de Propiedad Intelectual y </w:t>
      </w:r>
      <w:r w:rsidRPr="008F5678">
        <w:rPr>
          <w:rFonts w:ascii="Bookman Old Style" w:hAnsi="Bookman Old Style"/>
          <w:sz w:val="24"/>
          <w:szCs w:val="24"/>
          <w:shd w:val="clear" w:color="auto" w:fill="FFFFFF"/>
        </w:rPr>
        <w:t xml:space="preserve">los artículos 16 y 31 de la Ley de Artistas Profesionales del Ecuador, así como </w:t>
      </w:r>
      <w:r w:rsidRPr="008F5678">
        <w:rPr>
          <w:rFonts w:ascii="Bookman Old Style" w:hAnsi="Bookman Old Style"/>
          <w:sz w:val="24"/>
          <w:szCs w:val="24"/>
        </w:rPr>
        <w:t xml:space="preserve">todas aquellas disposiciones de igual o menor jerarquía que creaban preasignaciones a favor de SAYCE Y FENARPE. No obstante, la derogatoria de la Disposición Transitoria Sexta de la Ley de Propiedad Intelectual, </w:t>
      </w:r>
      <w:r w:rsidRPr="008F5678">
        <w:rPr>
          <w:rFonts w:ascii="Bookman Old Style" w:eastAsia="Times New Roman" w:hAnsi="Bookman Old Style"/>
          <w:sz w:val="24"/>
          <w:szCs w:val="24"/>
          <w:lang w:eastAsia="es-ES"/>
        </w:rPr>
        <w:t>en ningún momento ha dejado sin vigencia o derogado ninguno de los derechos de autor de obras musicales y sus derechos patrimoniales, los cuales no constituyen preasignaciones presupuestarias ya que son regalías a favor de los autores por el uso o la explotación pública de sus obras, que se recaudan por una sociedad de gestión colectiva en los términos de los artículos 110 y 112 de la Ley de Propiedad Intelectual.</w:t>
      </w:r>
    </w:p>
    <w:p w:rsidR="00866A75" w:rsidRPr="008F5678" w:rsidRDefault="00866A75" w:rsidP="00866A75">
      <w:pPr>
        <w:pStyle w:val="Prrafodelista"/>
        <w:spacing w:after="0" w:line="240" w:lineRule="auto"/>
        <w:jc w:val="both"/>
        <w:rPr>
          <w:rFonts w:ascii="Bookman Old Style" w:hAnsi="Bookman Old Style"/>
          <w:sz w:val="24"/>
          <w:szCs w:val="24"/>
        </w:rPr>
      </w:pPr>
    </w:p>
    <w:p w:rsidR="00866A75" w:rsidRPr="008F5678" w:rsidRDefault="00866A75" w:rsidP="00866A75">
      <w:pPr>
        <w:pStyle w:val="Prrafodelista"/>
        <w:spacing w:after="0" w:line="240" w:lineRule="auto"/>
        <w:jc w:val="both"/>
        <w:rPr>
          <w:rFonts w:ascii="Bookman Old Style" w:eastAsia="Times New Roman" w:hAnsi="Bookman Old Style"/>
          <w:sz w:val="24"/>
          <w:szCs w:val="24"/>
          <w:lang w:eastAsia="es-ES"/>
        </w:rPr>
      </w:pPr>
      <w:r w:rsidRPr="008F5678">
        <w:rPr>
          <w:rFonts w:ascii="Bookman Old Style" w:eastAsia="Times New Roman" w:hAnsi="Bookman Old Style"/>
          <w:sz w:val="24"/>
          <w:szCs w:val="24"/>
          <w:lang w:eastAsia="es-ES"/>
        </w:rPr>
        <w:t>El presente pronunciamiento se limita a la inteligencia y aplicación de normas jurídicas, siendo responsabilidad exclusiva de la entidad consultante su aplicación a casos particulares.</w:t>
      </w:r>
    </w:p>
    <w:p w:rsidR="00866A75" w:rsidRPr="008F5678" w:rsidRDefault="00866A75" w:rsidP="00866A75">
      <w:pPr>
        <w:pStyle w:val="Prrafodelista"/>
        <w:spacing w:after="0" w:line="240" w:lineRule="auto"/>
        <w:jc w:val="both"/>
        <w:rPr>
          <w:rFonts w:ascii="Bookman Old Style" w:hAnsi="Bookman Old Style"/>
          <w:sz w:val="24"/>
          <w:szCs w:val="24"/>
          <w:shd w:val="clear" w:color="auto" w:fill="FFFFFF"/>
        </w:rPr>
      </w:pPr>
    </w:p>
    <w:p w:rsidR="00866A75" w:rsidRPr="008F5678" w:rsidRDefault="00866A75" w:rsidP="00866A75">
      <w:pPr>
        <w:pStyle w:val="Prrafodelista"/>
        <w:numPr>
          <w:ilvl w:val="0"/>
          <w:numId w:val="35"/>
        </w:numPr>
        <w:autoSpaceDE w:val="0"/>
        <w:autoSpaceDN w:val="0"/>
        <w:adjustRightInd w:val="0"/>
        <w:spacing w:after="0" w:line="240" w:lineRule="auto"/>
        <w:jc w:val="both"/>
        <w:rPr>
          <w:rFonts w:ascii="Bookman Old Style" w:eastAsia="Times New Roman" w:hAnsi="Bookman Old Style" w:cs="Courier New"/>
          <w:sz w:val="24"/>
          <w:szCs w:val="24"/>
          <w:lang w:eastAsia="es-ES"/>
        </w:rPr>
      </w:pPr>
      <w:r w:rsidRPr="008F5678">
        <w:rPr>
          <w:rFonts w:ascii="Bookman Old Style" w:eastAsia="Times New Roman" w:hAnsi="Bookman Old Style" w:cs="Courier New"/>
          <w:sz w:val="24"/>
          <w:szCs w:val="24"/>
          <w:lang w:eastAsia="es-ES"/>
        </w:rPr>
        <w:t xml:space="preserve">De conformidad con los  artículos 3 letra e) y 13 de la Ley Orgánica de la Procuraduría General del Estado, corresponde al Procurador absolver consultas jurídicas con carácter de vinculantes, </w:t>
      </w:r>
      <w:r w:rsidRPr="008F5678">
        <w:rPr>
          <w:rFonts w:ascii="Bookman Old Style" w:eastAsia="Times New Roman" w:hAnsi="Bookman Old Style" w:cs="Courier New"/>
          <w:b/>
          <w:sz w:val="24"/>
          <w:szCs w:val="24"/>
          <w:u w:val="single"/>
          <w:lang w:eastAsia="es-ES"/>
        </w:rPr>
        <w:t>sobre la inteligencia o aplicación de las normas legales, reglamentarias o de otro orden jurídico</w:t>
      </w:r>
      <w:r w:rsidRPr="008F5678">
        <w:rPr>
          <w:rFonts w:ascii="Bookman Old Style" w:eastAsia="Times New Roman" w:hAnsi="Bookman Old Style" w:cs="Courier New"/>
          <w:sz w:val="24"/>
          <w:szCs w:val="24"/>
          <w:lang w:eastAsia="es-ES"/>
        </w:rPr>
        <w:t xml:space="preserve"> a pedido de las máximas autoridades de </w:t>
      </w:r>
      <w:r w:rsidRPr="008F5678">
        <w:rPr>
          <w:rFonts w:ascii="Bookman Old Style" w:eastAsia="Times New Roman" w:hAnsi="Bookman Old Style" w:cs="Courier New"/>
          <w:sz w:val="24"/>
          <w:szCs w:val="24"/>
          <w:lang w:eastAsia="es-ES"/>
        </w:rPr>
        <w:lastRenderedPageBreak/>
        <w:t>los organismos y entidades del sector público. (Las negrillas y subrayado me corresponden)</w:t>
      </w:r>
    </w:p>
    <w:p w:rsidR="00866A75" w:rsidRPr="008F5678" w:rsidRDefault="00866A75" w:rsidP="00866A75">
      <w:pPr>
        <w:pStyle w:val="Prrafodelista"/>
        <w:spacing w:after="0" w:line="240" w:lineRule="auto"/>
        <w:jc w:val="both"/>
        <w:rPr>
          <w:rFonts w:ascii="Bookman Old Style" w:eastAsia="Times New Roman" w:hAnsi="Bookman Old Style"/>
          <w:sz w:val="24"/>
          <w:szCs w:val="24"/>
          <w:lang w:val="es-ES_tradnl" w:eastAsia="es-ES"/>
        </w:rPr>
      </w:pPr>
    </w:p>
    <w:p w:rsidR="00866A75" w:rsidRPr="008F5678" w:rsidRDefault="00866A75" w:rsidP="00866A75">
      <w:pPr>
        <w:pStyle w:val="Prrafodelista"/>
        <w:autoSpaceDE w:val="0"/>
        <w:autoSpaceDN w:val="0"/>
        <w:adjustRightInd w:val="0"/>
        <w:spacing w:after="0" w:line="240" w:lineRule="auto"/>
        <w:jc w:val="both"/>
        <w:rPr>
          <w:rFonts w:ascii="Bookman Old Style" w:eastAsia="Times New Roman" w:hAnsi="Bookman Old Style" w:cs="Courier New"/>
          <w:sz w:val="24"/>
          <w:szCs w:val="24"/>
          <w:lang w:eastAsia="es-ES"/>
        </w:rPr>
      </w:pPr>
      <w:r w:rsidRPr="008F5678">
        <w:rPr>
          <w:rFonts w:ascii="Bookman Old Style" w:eastAsia="Times New Roman" w:hAnsi="Bookman Old Style" w:cs="Courier New"/>
          <w:sz w:val="24"/>
          <w:szCs w:val="24"/>
          <w:lang w:eastAsia="es-ES"/>
        </w:rPr>
        <w:t xml:space="preserve">En aplicación de las disposiciones legales precedentes, esta Procuraduría emitió la Resolución No. 017 de 29 de mayo de 2007, publicada en el Registro Oficial No. 102 de 11 de junio de 2007, que en su artículo 2 reitera los principios legales antes citados, en todo lo que no contravenga a la citada disposición constitucional. </w:t>
      </w:r>
    </w:p>
    <w:p w:rsidR="00866A75" w:rsidRPr="008F5678" w:rsidRDefault="00866A75" w:rsidP="00866A75">
      <w:pPr>
        <w:pStyle w:val="Prrafodelista"/>
        <w:spacing w:after="0" w:line="240" w:lineRule="auto"/>
        <w:jc w:val="both"/>
        <w:rPr>
          <w:rFonts w:ascii="Bookman Old Style" w:eastAsia="Times New Roman" w:hAnsi="Bookman Old Style"/>
          <w:sz w:val="24"/>
          <w:szCs w:val="24"/>
          <w:lang w:eastAsia="es-ES"/>
        </w:rPr>
      </w:pPr>
    </w:p>
    <w:p w:rsidR="00866A75" w:rsidRPr="008F5678" w:rsidRDefault="00866A75" w:rsidP="00866A75">
      <w:pPr>
        <w:pStyle w:val="Prrafodelista"/>
        <w:spacing w:after="0" w:line="240" w:lineRule="auto"/>
        <w:jc w:val="both"/>
        <w:rPr>
          <w:rFonts w:ascii="Bookman Old Style" w:eastAsia="Times New Roman" w:hAnsi="Bookman Old Style" w:cs="Courier New"/>
          <w:sz w:val="24"/>
          <w:szCs w:val="24"/>
          <w:lang w:eastAsia="es-ES"/>
        </w:rPr>
      </w:pPr>
      <w:r w:rsidRPr="008F5678">
        <w:rPr>
          <w:rFonts w:ascii="Bookman Old Style" w:eastAsia="Times New Roman" w:hAnsi="Bookman Old Style"/>
          <w:sz w:val="24"/>
          <w:szCs w:val="24"/>
          <w:lang w:eastAsia="es-ES"/>
        </w:rPr>
        <w:t xml:space="preserve">Su consulta no está dirigida a la inteligencia o aplicación de una norma, según la esfera de mis competencias previstas en el numeral 3 del artículo 237 de la Constitución de la República y los artículos 3 letra e) y 13 de la Ley Orgánica de la Procuraduría General del Estado, razón por la cual, </w:t>
      </w:r>
      <w:r w:rsidRPr="008F5678">
        <w:rPr>
          <w:rFonts w:ascii="Bookman Old Style" w:eastAsia="Times New Roman" w:hAnsi="Bookman Old Style" w:cs="Courier New"/>
          <w:sz w:val="24"/>
          <w:szCs w:val="24"/>
          <w:lang w:eastAsia="es-ES"/>
        </w:rPr>
        <w:t>en cumplimiento de la normativa jurídica citada me abstengo de atender su solicitud.</w:t>
      </w:r>
    </w:p>
    <w:p w:rsidR="00866A75" w:rsidRPr="008F5678" w:rsidRDefault="00866A75" w:rsidP="00866A75">
      <w:pPr>
        <w:pStyle w:val="Prrafodelista"/>
        <w:widowControl w:val="0"/>
        <w:autoSpaceDE w:val="0"/>
        <w:autoSpaceDN w:val="0"/>
        <w:adjustRightInd w:val="0"/>
        <w:jc w:val="both"/>
        <w:rPr>
          <w:rFonts w:ascii="Bookman Old Style" w:hAnsi="Bookman Old Style" w:cs="Bookman Old Style"/>
          <w:b/>
          <w:bCs/>
          <w:sz w:val="24"/>
          <w:szCs w:val="24"/>
          <w:lang w:val="es-ES_tradnl"/>
        </w:rPr>
      </w:pPr>
    </w:p>
    <w:p w:rsidR="008F5EF4" w:rsidRPr="008F5678" w:rsidRDefault="008F5EF4" w:rsidP="0079152D">
      <w:pPr>
        <w:widowControl w:val="0"/>
        <w:pBdr>
          <w:bottom w:val="single" w:sz="6" w:space="1" w:color="auto"/>
        </w:pBdr>
        <w:autoSpaceDE w:val="0"/>
        <w:autoSpaceDN w:val="0"/>
        <w:adjustRightInd w:val="0"/>
        <w:jc w:val="both"/>
        <w:rPr>
          <w:rFonts w:ascii="Bookman Old Style" w:hAnsi="Bookman Old Style" w:cs="Bookman Old Style"/>
          <w:b/>
          <w:bCs/>
          <w:sz w:val="24"/>
          <w:szCs w:val="24"/>
          <w:lang w:val="es-ES_tradnl"/>
        </w:rPr>
      </w:pPr>
    </w:p>
    <w:p w:rsidR="008F5678" w:rsidRPr="008F5678" w:rsidRDefault="008F5678" w:rsidP="008F5678">
      <w:pPr>
        <w:jc w:val="center"/>
        <w:rPr>
          <w:rFonts w:ascii="Bookman Old Style" w:hAnsi="Bookman Old Style"/>
          <w:b/>
          <w:color w:val="000000"/>
          <w:sz w:val="24"/>
          <w:szCs w:val="24"/>
        </w:rPr>
      </w:pPr>
      <w:r w:rsidRPr="008F5678">
        <w:rPr>
          <w:rFonts w:ascii="Bookman Old Style" w:hAnsi="Bookman Old Style"/>
          <w:b/>
          <w:color w:val="000000"/>
          <w:sz w:val="24"/>
          <w:szCs w:val="24"/>
        </w:rPr>
        <w:t>MINISTRO DE AGRICULTURA, GANADERÍA: POTESTADES</w:t>
      </w:r>
    </w:p>
    <w:p w:rsidR="008F5678" w:rsidRPr="008F5678" w:rsidRDefault="008F5678" w:rsidP="008F5678">
      <w:pPr>
        <w:spacing w:after="0" w:line="240" w:lineRule="auto"/>
        <w:jc w:val="both"/>
        <w:rPr>
          <w:rFonts w:ascii="Bookman Old Style" w:eastAsia="Times New Roman" w:hAnsi="Bookman Old Style"/>
          <w:sz w:val="24"/>
          <w:szCs w:val="24"/>
          <w:lang w:val="es-ES" w:eastAsia="es-ES"/>
        </w:rPr>
      </w:pPr>
      <w:r w:rsidRPr="008F5678">
        <w:rPr>
          <w:rFonts w:ascii="Bookman Old Style" w:hAnsi="Bookman Old Style"/>
          <w:color w:val="000000"/>
          <w:sz w:val="24"/>
          <w:szCs w:val="24"/>
        </w:rPr>
        <w:t>ACUACULTURA Y PESCA</w:t>
      </w:r>
    </w:p>
    <w:p w:rsidR="0079152D" w:rsidRPr="008F5678" w:rsidRDefault="0079152D" w:rsidP="00097267">
      <w:pPr>
        <w:spacing w:after="0" w:line="240" w:lineRule="auto"/>
        <w:jc w:val="center"/>
        <w:rPr>
          <w:rFonts w:ascii="Bookman Old Style" w:hAnsi="Bookman Old Style"/>
          <w:b/>
          <w:sz w:val="24"/>
          <w:szCs w:val="24"/>
          <w:lang w:val="es-MX"/>
        </w:rPr>
      </w:pPr>
    </w:p>
    <w:p w:rsidR="005135A1" w:rsidRPr="008F5678" w:rsidRDefault="00790735" w:rsidP="005135A1">
      <w:pPr>
        <w:spacing w:line="240" w:lineRule="auto"/>
        <w:jc w:val="both"/>
        <w:rPr>
          <w:rFonts w:ascii="Bookman Old Style" w:hAnsi="Bookman Old Style"/>
          <w:b/>
          <w:sz w:val="24"/>
          <w:szCs w:val="24"/>
          <w:u w:val="single"/>
          <w:lang w:val="es-MX"/>
        </w:rPr>
      </w:pPr>
      <w:r w:rsidRPr="008F5678">
        <w:rPr>
          <w:rFonts w:ascii="Bookman Old Style" w:hAnsi="Bookman Old Style"/>
          <w:b/>
          <w:sz w:val="24"/>
          <w:szCs w:val="24"/>
        </w:rPr>
        <w:t>OF. PGE. N°:</w:t>
      </w:r>
      <w:r w:rsidR="00BE3A11" w:rsidRPr="008F5678">
        <w:rPr>
          <w:rFonts w:ascii="Bookman Old Style" w:hAnsi="Bookman Old Style"/>
          <w:sz w:val="24"/>
          <w:szCs w:val="24"/>
        </w:rPr>
        <w:t xml:space="preserve"> </w:t>
      </w:r>
      <w:r w:rsidR="00866A75" w:rsidRPr="008F5678">
        <w:rPr>
          <w:rFonts w:ascii="Bookman Old Style" w:hAnsi="Bookman Old Style"/>
          <w:sz w:val="24"/>
          <w:szCs w:val="24"/>
        </w:rPr>
        <w:t xml:space="preserve">01424 </w:t>
      </w:r>
      <w:r w:rsidR="005135A1" w:rsidRPr="008F5678">
        <w:rPr>
          <w:rFonts w:ascii="Bookman Old Style" w:hAnsi="Bookman Old Style"/>
          <w:sz w:val="24"/>
          <w:szCs w:val="24"/>
        </w:rPr>
        <w:t xml:space="preserve">de </w:t>
      </w:r>
      <w:r w:rsidR="00866A75" w:rsidRPr="008F5678">
        <w:rPr>
          <w:rFonts w:ascii="Bookman Old Style" w:hAnsi="Bookman Old Style"/>
          <w:sz w:val="24"/>
          <w:szCs w:val="24"/>
        </w:rPr>
        <w:t>04</w:t>
      </w:r>
      <w:r w:rsidR="005135A1" w:rsidRPr="008F5678">
        <w:rPr>
          <w:rFonts w:ascii="Bookman Old Style" w:hAnsi="Bookman Old Style"/>
          <w:sz w:val="24"/>
          <w:szCs w:val="24"/>
        </w:rPr>
        <w:t>-0</w:t>
      </w:r>
      <w:r w:rsidRPr="008F5678">
        <w:rPr>
          <w:rFonts w:ascii="Bookman Old Style" w:hAnsi="Bookman Old Style"/>
          <w:sz w:val="24"/>
          <w:szCs w:val="24"/>
        </w:rPr>
        <w:t>6</w:t>
      </w:r>
      <w:r w:rsidR="005135A1" w:rsidRPr="008F5678">
        <w:rPr>
          <w:rFonts w:ascii="Bookman Old Style" w:hAnsi="Bookman Old Style"/>
          <w:sz w:val="24"/>
          <w:szCs w:val="24"/>
        </w:rPr>
        <w:t>-2015</w:t>
      </w:r>
    </w:p>
    <w:p w:rsidR="005135A1" w:rsidRPr="008F5678" w:rsidRDefault="005135A1" w:rsidP="005135A1">
      <w:pPr>
        <w:spacing w:after="0" w:line="240" w:lineRule="auto"/>
        <w:jc w:val="both"/>
        <w:rPr>
          <w:rFonts w:ascii="Bookman Old Style" w:hAnsi="Bookman Old Style"/>
          <w:b/>
          <w:sz w:val="24"/>
          <w:szCs w:val="24"/>
        </w:rPr>
      </w:pPr>
    </w:p>
    <w:p w:rsidR="00866A75" w:rsidRPr="008F5678" w:rsidRDefault="005135A1" w:rsidP="008F5678">
      <w:pPr>
        <w:jc w:val="both"/>
        <w:rPr>
          <w:rFonts w:ascii="Bookman Old Style" w:eastAsia="Times New Roman" w:hAnsi="Bookman Old Style"/>
          <w:sz w:val="24"/>
          <w:szCs w:val="24"/>
          <w:lang w:val="es-ES" w:eastAsia="es-ES"/>
        </w:rPr>
      </w:pPr>
      <w:r w:rsidRPr="008F5678">
        <w:rPr>
          <w:rFonts w:ascii="Bookman Old Style" w:hAnsi="Bookman Old Style"/>
          <w:b/>
          <w:sz w:val="24"/>
          <w:szCs w:val="24"/>
        </w:rPr>
        <w:t xml:space="preserve">CONSULTANTE: </w:t>
      </w:r>
      <w:r w:rsidR="00866A75" w:rsidRPr="008F5678">
        <w:rPr>
          <w:rFonts w:ascii="Bookman Old Style" w:hAnsi="Bookman Old Style"/>
          <w:color w:val="000000"/>
          <w:sz w:val="24"/>
          <w:szCs w:val="24"/>
        </w:rPr>
        <w:t>MINISTRO DE AGRICULTURA, GANADERÍA</w:t>
      </w:r>
      <w:r w:rsidR="008F5678" w:rsidRPr="008F5678">
        <w:rPr>
          <w:rFonts w:ascii="Bookman Old Style" w:hAnsi="Bookman Old Style"/>
          <w:color w:val="000000"/>
          <w:sz w:val="24"/>
          <w:szCs w:val="24"/>
        </w:rPr>
        <w:t xml:space="preserve">, </w:t>
      </w:r>
      <w:r w:rsidR="00866A75" w:rsidRPr="008F5678">
        <w:rPr>
          <w:rFonts w:ascii="Bookman Old Style" w:hAnsi="Bookman Old Style"/>
          <w:color w:val="000000"/>
          <w:sz w:val="24"/>
          <w:szCs w:val="24"/>
        </w:rPr>
        <w:t>ACUACULTURA Y PESCA</w:t>
      </w:r>
    </w:p>
    <w:p w:rsidR="005135A1" w:rsidRPr="008F5678" w:rsidRDefault="005135A1" w:rsidP="005135A1">
      <w:pPr>
        <w:spacing w:line="240" w:lineRule="auto"/>
        <w:rPr>
          <w:rFonts w:ascii="Bookman Old Style" w:hAnsi="Bookman Old Style"/>
          <w:b/>
          <w:sz w:val="24"/>
          <w:szCs w:val="24"/>
          <w:lang w:val="es-MX"/>
        </w:rPr>
      </w:pPr>
      <w:r w:rsidRPr="008F5678">
        <w:rPr>
          <w:rFonts w:ascii="Bookman Old Style" w:hAnsi="Bookman Old Style"/>
          <w:b/>
          <w:sz w:val="24"/>
          <w:szCs w:val="24"/>
          <w:lang w:val="es-MX"/>
        </w:rPr>
        <w:t>CONSULTA:</w:t>
      </w:r>
    </w:p>
    <w:p w:rsidR="008F5678" w:rsidRPr="008F5678" w:rsidRDefault="008F5678" w:rsidP="008F5678">
      <w:pPr>
        <w:ind w:left="705"/>
        <w:jc w:val="both"/>
        <w:rPr>
          <w:rFonts w:ascii="Bookman Old Style" w:hAnsi="Bookman Old Style"/>
          <w:color w:val="000000"/>
          <w:sz w:val="24"/>
          <w:szCs w:val="24"/>
        </w:rPr>
      </w:pPr>
      <w:r w:rsidRPr="008F5678">
        <w:rPr>
          <w:rFonts w:ascii="Bookman Old Style" w:hAnsi="Bookman Old Style"/>
          <w:color w:val="000000"/>
          <w:sz w:val="24"/>
          <w:szCs w:val="24"/>
        </w:rPr>
        <w:t>“¿Es procedente que el Ministerio de Agricultura, Ganadería, Acuacultura y Pesca, al amparo de lo dispuesto en los artículos 66 y siguientes de la Ley de Pesca y Desarrollo Pesquero, ejerza su facultad reguladora y controladora del sector acuícola y pesquero?”.</w:t>
      </w:r>
    </w:p>
    <w:p w:rsidR="00E83FCC" w:rsidRPr="008F5678" w:rsidRDefault="005135A1" w:rsidP="00BE3A11">
      <w:pPr>
        <w:widowControl w:val="0"/>
        <w:autoSpaceDE w:val="0"/>
        <w:autoSpaceDN w:val="0"/>
        <w:adjustRightInd w:val="0"/>
        <w:jc w:val="both"/>
        <w:rPr>
          <w:rFonts w:ascii="Bookman Old Style" w:hAnsi="Bookman Old Style" w:cs="Bookman Old Style"/>
          <w:b/>
          <w:bCs/>
          <w:sz w:val="24"/>
          <w:szCs w:val="24"/>
          <w:lang w:val="es-ES_tradnl"/>
        </w:rPr>
      </w:pPr>
      <w:r w:rsidRPr="008F5678">
        <w:rPr>
          <w:rFonts w:ascii="Bookman Old Style" w:hAnsi="Bookman Old Style" w:cs="Bookman Old Style"/>
          <w:b/>
          <w:bCs/>
          <w:sz w:val="24"/>
          <w:szCs w:val="24"/>
          <w:lang w:val="es-ES_tradnl"/>
        </w:rPr>
        <w:t>PRONUNCIAMIENTO:</w:t>
      </w:r>
    </w:p>
    <w:p w:rsidR="008F5678" w:rsidRPr="008F5678" w:rsidRDefault="00C60244" w:rsidP="008F5678">
      <w:pPr>
        <w:jc w:val="both"/>
        <w:rPr>
          <w:rFonts w:ascii="Bookman Old Style" w:hAnsi="Bookman Old Style"/>
          <w:color w:val="000000"/>
          <w:sz w:val="24"/>
          <w:szCs w:val="24"/>
        </w:rPr>
      </w:pPr>
      <w:r>
        <w:rPr>
          <w:rFonts w:ascii="Bookman Old Style" w:hAnsi="Bookman Old Style"/>
          <w:color w:val="000000"/>
          <w:sz w:val="24"/>
          <w:szCs w:val="24"/>
        </w:rPr>
        <w:t>E</w:t>
      </w:r>
      <w:bookmarkStart w:id="0" w:name="_GoBack"/>
      <w:bookmarkEnd w:id="0"/>
      <w:r w:rsidR="008F5678" w:rsidRPr="008F5678">
        <w:rPr>
          <w:rFonts w:ascii="Bookman Old Style" w:hAnsi="Bookman Old Style"/>
          <w:color w:val="000000"/>
          <w:sz w:val="24"/>
          <w:szCs w:val="24"/>
        </w:rPr>
        <w:t>n atención a los términos de la consulta se concluye que, de acuerdo con el artículo 15 de la Ley de Pesca y Desarrollo Pesquero, corresponde al Ministerio de Agricultura y Ganadería, Acuacultura y Pesca, el control del sector pesquero y según el artículo 85 Ibídem, la Dirección de Control de Recursos Pesqueros de ese Ministerio (antes Dirección General de Pesca) tiene atribución para ejercer la potestad sancionadora de las faltas administrativas establecidas en el Título V de esa Ley, esto es de aquellas que se castiguen exclusivamente con multa, suspensión temporal de los beneficios, supresión de beneficios o decomiso de la pesca.</w:t>
      </w:r>
    </w:p>
    <w:p w:rsidR="008F5678" w:rsidRPr="008F5678" w:rsidRDefault="008F5678" w:rsidP="008F5678">
      <w:pPr>
        <w:jc w:val="both"/>
        <w:rPr>
          <w:rFonts w:ascii="Bookman Old Style" w:hAnsi="Bookman Old Style"/>
          <w:color w:val="000000"/>
          <w:sz w:val="24"/>
          <w:szCs w:val="24"/>
        </w:rPr>
      </w:pPr>
      <w:r w:rsidRPr="008F5678">
        <w:rPr>
          <w:rFonts w:ascii="Bookman Old Style" w:hAnsi="Bookman Old Style"/>
          <w:color w:val="000000"/>
          <w:sz w:val="24"/>
          <w:szCs w:val="24"/>
        </w:rPr>
        <w:lastRenderedPageBreak/>
        <w:t>En lo que respecta al juzgamiento y sanción de las infracciones penales por los órganos judiciales, se estará a lo dispuesto en el Código Orgánico Integral Penal.</w:t>
      </w:r>
    </w:p>
    <w:p w:rsidR="008F5678" w:rsidRPr="008F5678" w:rsidRDefault="008F5678" w:rsidP="008F5678">
      <w:pPr>
        <w:jc w:val="both"/>
        <w:rPr>
          <w:rFonts w:ascii="Bookman Old Style" w:hAnsi="Bookman Old Style"/>
          <w:color w:val="000000"/>
          <w:sz w:val="24"/>
          <w:szCs w:val="24"/>
        </w:rPr>
      </w:pPr>
      <w:r w:rsidRPr="008F5678">
        <w:rPr>
          <w:rFonts w:ascii="Bookman Old Style" w:hAnsi="Bookman Old Style"/>
          <w:color w:val="000000"/>
          <w:sz w:val="24"/>
          <w:szCs w:val="24"/>
        </w:rPr>
        <w:t>El presente pronunciamiento se limita a la inteligencia y aplicación de normas jurídicas, pues no es facultad de la Procuraduría General del Estado calificar las normas que constituyen infracción administrativa, ni determinar las competencias de las Instituciones que forman parte del Sector Público.</w:t>
      </w:r>
    </w:p>
    <w:p w:rsidR="008F5678" w:rsidRPr="008F5678" w:rsidRDefault="008F5678" w:rsidP="00BE3A11">
      <w:pPr>
        <w:widowControl w:val="0"/>
        <w:autoSpaceDE w:val="0"/>
        <w:autoSpaceDN w:val="0"/>
        <w:adjustRightInd w:val="0"/>
        <w:jc w:val="both"/>
        <w:rPr>
          <w:rFonts w:ascii="Bookman Old Style" w:hAnsi="Bookman Old Style" w:cs="Bookman Old Style"/>
          <w:b/>
          <w:bCs/>
          <w:sz w:val="24"/>
          <w:szCs w:val="24"/>
          <w:lang w:val="es-ES_tradnl"/>
        </w:rPr>
      </w:pPr>
    </w:p>
    <w:p w:rsidR="00097267" w:rsidRPr="008F5678" w:rsidRDefault="00BD1044" w:rsidP="00097267">
      <w:pPr>
        <w:spacing w:after="0" w:line="240" w:lineRule="auto"/>
        <w:ind w:left="-601"/>
        <w:jc w:val="both"/>
        <w:rPr>
          <w:rFonts w:ascii="Bookman Old Style" w:hAnsi="Bookman Old Style"/>
          <w:sz w:val="24"/>
          <w:szCs w:val="24"/>
        </w:rPr>
      </w:pPr>
      <w:r w:rsidRPr="008F5678">
        <w:rPr>
          <w:rFonts w:ascii="Bookman Old Style" w:hAnsi="Bookman Old Style"/>
          <w:sz w:val="24"/>
          <w:szCs w:val="24"/>
        </w:rPr>
        <w:t>Elaborado</w:t>
      </w:r>
      <w:r w:rsidR="00097267" w:rsidRPr="008F5678">
        <w:rPr>
          <w:rFonts w:ascii="Bookman Old Style" w:hAnsi="Bookman Old Style"/>
          <w:sz w:val="24"/>
          <w:szCs w:val="24"/>
        </w:rPr>
        <w:t xml:space="preserve"> por: </w:t>
      </w:r>
      <w:r w:rsidR="00097267" w:rsidRPr="008F5678">
        <w:rPr>
          <w:rFonts w:ascii="Bookman Old Style" w:hAnsi="Bookman Old Style"/>
          <w:b/>
          <w:sz w:val="24"/>
          <w:szCs w:val="24"/>
        </w:rPr>
        <w:t>Dra. Mónica Basantes</w:t>
      </w:r>
      <w:r w:rsidR="00430FEF" w:rsidRPr="008F5678">
        <w:rPr>
          <w:rFonts w:ascii="Bookman Old Style" w:hAnsi="Bookman Old Style"/>
          <w:b/>
          <w:sz w:val="24"/>
          <w:szCs w:val="24"/>
        </w:rPr>
        <w:t xml:space="preserve"> Gaona</w:t>
      </w:r>
    </w:p>
    <w:p w:rsidR="00097267" w:rsidRPr="008F5678" w:rsidRDefault="007D7479" w:rsidP="00A64587">
      <w:pPr>
        <w:spacing w:after="0" w:line="240" w:lineRule="auto"/>
        <w:ind w:left="-601"/>
        <w:jc w:val="both"/>
        <w:rPr>
          <w:rFonts w:ascii="Bookman Old Style" w:hAnsi="Bookman Old Style"/>
          <w:b/>
          <w:sz w:val="24"/>
          <w:szCs w:val="24"/>
        </w:rPr>
      </w:pPr>
      <w:r w:rsidRPr="008F5678">
        <w:rPr>
          <w:rFonts w:ascii="Bookman Old Style" w:hAnsi="Bookman Old Style"/>
          <w:sz w:val="24"/>
          <w:szCs w:val="24"/>
        </w:rPr>
        <w:t xml:space="preserve">Revisado por: </w:t>
      </w:r>
      <w:r w:rsidR="00790735" w:rsidRPr="008F5678">
        <w:rPr>
          <w:rFonts w:ascii="Bookman Old Style" w:hAnsi="Bookman Old Style"/>
          <w:b/>
          <w:sz w:val="24"/>
          <w:szCs w:val="24"/>
        </w:rPr>
        <w:t>Dr. Javier Ribadeneira Sarmiento</w:t>
      </w:r>
    </w:p>
    <w:p w:rsidR="00A64587" w:rsidRPr="008F5678" w:rsidRDefault="00A64587" w:rsidP="00A64587">
      <w:pPr>
        <w:spacing w:after="0" w:line="240" w:lineRule="auto"/>
        <w:ind w:left="-601"/>
        <w:jc w:val="both"/>
        <w:rPr>
          <w:rFonts w:ascii="Bookman Old Style" w:hAnsi="Bookman Old Style"/>
          <w:sz w:val="24"/>
          <w:szCs w:val="24"/>
        </w:rPr>
      </w:pPr>
    </w:p>
    <w:p w:rsidR="00981CB5" w:rsidRPr="008F5678" w:rsidRDefault="00790735" w:rsidP="00B8793A">
      <w:pPr>
        <w:spacing w:after="0" w:line="240" w:lineRule="auto"/>
        <w:ind w:left="-601"/>
        <w:jc w:val="both"/>
        <w:rPr>
          <w:rFonts w:ascii="Bookman Old Style" w:hAnsi="Bookman Old Style" w:cs="Bookman Old Style"/>
          <w:bCs/>
          <w:sz w:val="24"/>
          <w:szCs w:val="24"/>
          <w:lang w:val="es-ES_tradnl"/>
        </w:rPr>
      </w:pPr>
      <w:r w:rsidRPr="008F5678">
        <w:rPr>
          <w:rFonts w:ascii="Bookman Old Style" w:hAnsi="Bookman Old Style"/>
          <w:sz w:val="24"/>
          <w:szCs w:val="24"/>
        </w:rPr>
        <w:t>01-07</w:t>
      </w:r>
      <w:r w:rsidR="00B0725B" w:rsidRPr="008F5678">
        <w:rPr>
          <w:rFonts w:ascii="Bookman Old Style" w:hAnsi="Bookman Old Style"/>
          <w:sz w:val="24"/>
          <w:szCs w:val="24"/>
        </w:rPr>
        <w:t>-2015</w:t>
      </w:r>
    </w:p>
    <w:sectPr w:rsidR="00981CB5" w:rsidRPr="008F56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60" w:rsidRDefault="008F5E60" w:rsidP="00097267">
      <w:pPr>
        <w:spacing w:after="0" w:line="240" w:lineRule="auto"/>
      </w:pPr>
      <w:r>
        <w:separator/>
      </w:r>
    </w:p>
  </w:endnote>
  <w:endnote w:type="continuationSeparator" w:id="0">
    <w:p w:rsidR="008F5E60" w:rsidRDefault="008F5E60"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60" w:rsidRDefault="008F5E60" w:rsidP="00097267">
      <w:pPr>
        <w:spacing w:after="0" w:line="240" w:lineRule="auto"/>
      </w:pPr>
      <w:r>
        <w:separator/>
      </w:r>
    </w:p>
  </w:footnote>
  <w:footnote w:type="continuationSeparator" w:id="0">
    <w:p w:rsidR="008F5E60" w:rsidRDefault="008F5E60"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D26"/>
    <w:multiLevelType w:val="hybridMultilevel"/>
    <w:tmpl w:val="951E4D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A9523F3"/>
    <w:multiLevelType w:val="hybridMultilevel"/>
    <w:tmpl w:val="A1EA08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DDB49A7"/>
    <w:multiLevelType w:val="hybridMultilevel"/>
    <w:tmpl w:val="A1EA08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CD4191E"/>
    <w:multiLevelType w:val="hybridMultilevel"/>
    <w:tmpl w:val="B4B2C2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10">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CA424EF"/>
    <w:multiLevelType w:val="hybridMultilevel"/>
    <w:tmpl w:val="61B266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CD625F0"/>
    <w:multiLevelType w:val="hybridMultilevel"/>
    <w:tmpl w:val="8F287E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1">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3">
    <w:nsid w:val="5B076648"/>
    <w:multiLevelType w:val="hybridMultilevel"/>
    <w:tmpl w:val="6ACEEF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9">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30">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2">
    <w:nsid w:val="70FA7E4F"/>
    <w:multiLevelType w:val="hybridMultilevel"/>
    <w:tmpl w:val="DF6CF3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29"/>
  </w:num>
  <w:num w:numId="2">
    <w:abstractNumId w:val="6"/>
  </w:num>
  <w:num w:numId="3">
    <w:abstractNumId w:val="18"/>
  </w:num>
  <w:num w:numId="4">
    <w:abstractNumId w:val="30"/>
  </w:num>
  <w:num w:numId="5">
    <w:abstractNumId w:val="14"/>
  </w:num>
  <w:num w:numId="6">
    <w:abstractNumId w:val="13"/>
  </w:num>
  <w:num w:numId="7">
    <w:abstractNumId w:val="26"/>
  </w:num>
  <w:num w:numId="8">
    <w:abstractNumId w:val="1"/>
  </w:num>
  <w:num w:numId="9">
    <w:abstractNumId w:val="28"/>
  </w:num>
  <w:num w:numId="10">
    <w:abstractNumId w:val="8"/>
  </w:num>
  <w:num w:numId="11">
    <w:abstractNumId w:val="3"/>
  </w:num>
  <w:num w:numId="12">
    <w:abstractNumId w:val="25"/>
  </w:num>
  <w:num w:numId="13">
    <w:abstractNumId w:val="21"/>
  </w:num>
  <w:num w:numId="14">
    <w:abstractNumId w:val="12"/>
  </w:num>
  <w:num w:numId="15">
    <w:abstractNumId w:val="31"/>
  </w:num>
  <w:num w:numId="16">
    <w:abstractNumId w:val="34"/>
  </w:num>
  <w:num w:numId="17">
    <w:abstractNumId w:val="2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9"/>
  </w:num>
  <w:num w:numId="22">
    <w:abstractNumId w:val="11"/>
  </w:num>
  <w:num w:numId="23">
    <w:abstractNumId w:val="33"/>
  </w:num>
  <w:num w:numId="24">
    <w:abstractNumId w:val="2"/>
  </w:num>
  <w:num w:numId="25">
    <w:abstractNumId w:val="17"/>
  </w:num>
  <w:num w:numId="26">
    <w:abstractNumId w:val="9"/>
  </w:num>
  <w:num w:numId="27">
    <w:abstractNumId w:val="10"/>
  </w:num>
  <w:num w:numId="28">
    <w:abstractNumId w:val="16"/>
  </w:num>
  <w:num w:numId="29">
    <w:abstractNumId w:val="15"/>
  </w:num>
  <w:num w:numId="30">
    <w:abstractNumId w:val="0"/>
  </w:num>
  <w:num w:numId="31">
    <w:abstractNumId w:val="7"/>
  </w:num>
  <w:num w:numId="32">
    <w:abstractNumId w:val="4"/>
  </w:num>
  <w:num w:numId="33">
    <w:abstractNumId w:val="5"/>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372A7"/>
    <w:rsid w:val="00097267"/>
    <w:rsid w:val="000B3114"/>
    <w:rsid w:val="000E182F"/>
    <w:rsid w:val="000F44CD"/>
    <w:rsid w:val="00113D21"/>
    <w:rsid w:val="0011777C"/>
    <w:rsid w:val="001220A1"/>
    <w:rsid w:val="00135B39"/>
    <w:rsid w:val="001609F9"/>
    <w:rsid w:val="00177D54"/>
    <w:rsid w:val="00183D24"/>
    <w:rsid w:val="001B3FD8"/>
    <w:rsid w:val="001C0D25"/>
    <w:rsid w:val="001D5DEE"/>
    <w:rsid w:val="001F6E66"/>
    <w:rsid w:val="00267B14"/>
    <w:rsid w:val="00272C9D"/>
    <w:rsid w:val="00275151"/>
    <w:rsid w:val="002809BE"/>
    <w:rsid w:val="00294744"/>
    <w:rsid w:val="0030781B"/>
    <w:rsid w:val="00317835"/>
    <w:rsid w:val="003249F0"/>
    <w:rsid w:val="0034685C"/>
    <w:rsid w:val="00397B26"/>
    <w:rsid w:val="003A3A51"/>
    <w:rsid w:val="003B39B9"/>
    <w:rsid w:val="003C41D2"/>
    <w:rsid w:val="003D5D80"/>
    <w:rsid w:val="003F7C43"/>
    <w:rsid w:val="00400AC5"/>
    <w:rsid w:val="004138B4"/>
    <w:rsid w:val="00430FEF"/>
    <w:rsid w:val="004402DD"/>
    <w:rsid w:val="00442FEE"/>
    <w:rsid w:val="00472E65"/>
    <w:rsid w:val="00473831"/>
    <w:rsid w:val="004A4F51"/>
    <w:rsid w:val="004A5603"/>
    <w:rsid w:val="004B5B71"/>
    <w:rsid w:val="004D3926"/>
    <w:rsid w:val="004E5405"/>
    <w:rsid w:val="005135A1"/>
    <w:rsid w:val="005724F5"/>
    <w:rsid w:val="005C4129"/>
    <w:rsid w:val="005D6C40"/>
    <w:rsid w:val="00601355"/>
    <w:rsid w:val="0060626A"/>
    <w:rsid w:val="00621009"/>
    <w:rsid w:val="00671838"/>
    <w:rsid w:val="006777A9"/>
    <w:rsid w:val="00681D97"/>
    <w:rsid w:val="00682A68"/>
    <w:rsid w:val="006961E6"/>
    <w:rsid w:val="006A4DCC"/>
    <w:rsid w:val="006B6E7F"/>
    <w:rsid w:val="006D5318"/>
    <w:rsid w:val="00713587"/>
    <w:rsid w:val="007441D9"/>
    <w:rsid w:val="00746D80"/>
    <w:rsid w:val="00746E29"/>
    <w:rsid w:val="0075187C"/>
    <w:rsid w:val="0078259E"/>
    <w:rsid w:val="00790735"/>
    <w:rsid w:val="0079152D"/>
    <w:rsid w:val="007A57B3"/>
    <w:rsid w:val="007C0631"/>
    <w:rsid w:val="007D7479"/>
    <w:rsid w:val="007E2183"/>
    <w:rsid w:val="007E609B"/>
    <w:rsid w:val="00804C36"/>
    <w:rsid w:val="00804ECF"/>
    <w:rsid w:val="008078F3"/>
    <w:rsid w:val="00822709"/>
    <w:rsid w:val="0082673C"/>
    <w:rsid w:val="008556A9"/>
    <w:rsid w:val="00866230"/>
    <w:rsid w:val="00866A75"/>
    <w:rsid w:val="0088037E"/>
    <w:rsid w:val="0089567C"/>
    <w:rsid w:val="008D3D2C"/>
    <w:rsid w:val="008F5678"/>
    <w:rsid w:val="008F5C10"/>
    <w:rsid w:val="008F5E60"/>
    <w:rsid w:val="008F5EF4"/>
    <w:rsid w:val="009011C8"/>
    <w:rsid w:val="00962739"/>
    <w:rsid w:val="00981CB5"/>
    <w:rsid w:val="00997C3A"/>
    <w:rsid w:val="009A2928"/>
    <w:rsid w:val="009C17CF"/>
    <w:rsid w:val="009E4CB4"/>
    <w:rsid w:val="00A23EAC"/>
    <w:rsid w:val="00A33A22"/>
    <w:rsid w:val="00A64587"/>
    <w:rsid w:val="00A759D6"/>
    <w:rsid w:val="00A75FF5"/>
    <w:rsid w:val="00A833D6"/>
    <w:rsid w:val="00AA25B8"/>
    <w:rsid w:val="00AB361C"/>
    <w:rsid w:val="00AC0C8E"/>
    <w:rsid w:val="00AC5C1F"/>
    <w:rsid w:val="00AC653B"/>
    <w:rsid w:val="00AF3DC0"/>
    <w:rsid w:val="00B02C9D"/>
    <w:rsid w:val="00B0725B"/>
    <w:rsid w:val="00B1231A"/>
    <w:rsid w:val="00B15E5C"/>
    <w:rsid w:val="00B16846"/>
    <w:rsid w:val="00B42F6B"/>
    <w:rsid w:val="00B54ADE"/>
    <w:rsid w:val="00B61D2D"/>
    <w:rsid w:val="00B769F3"/>
    <w:rsid w:val="00B774D1"/>
    <w:rsid w:val="00B8793A"/>
    <w:rsid w:val="00BC1E36"/>
    <w:rsid w:val="00BD1044"/>
    <w:rsid w:val="00BE3A11"/>
    <w:rsid w:val="00C135F9"/>
    <w:rsid w:val="00C1520C"/>
    <w:rsid w:val="00C25908"/>
    <w:rsid w:val="00C57390"/>
    <w:rsid w:val="00C60244"/>
    <w:rsid w:val="00C61E67"/>
    <w:rsid w:val="00C81F29"/>
    <w:rsid w:val="00CC6C32"/>
    <w:rsid w:val="00CC7766"/>
    <w:rsid w:val="00CD69A6"/>
    <w:rsid w:val="00CF28D5"/>
    <w:rsid w:val="00D0134B"/>
    <w:rsid w:val="00D050DE"/>
    <w:rsid w:val="00D374AC"/>
    <w:rsid w:val="00D67F4C"/>
    <w:rsid w:val="00DA14D0"/>
    <w:rsid w:val="00DA40AF"/>
    <w:rsid w:val="00DB0183"/>
    <w:rsid w:val="00DE33D5"/>
    <w:rsid w:val="00E240D4"/>
    <w:rsid w:val="00E574BA"/>
    <w:rsid w:val="00E626C4"/>
    <w:rsid w:val="00E83FCC"/>
    <w:rsid w:val="00EA1C96"/>
    <w:rsid w:val="00EB2CB0"/>
    <w:rsid w:val="00EB3009"/>
    <w:rsid w:val="00EB5741"/>
    <w:rsid w:val="00EF45EA"/>
    <w:rsid w:val="00F65006"/>
    <w:rsid w:val="00FE3C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F42A-0B82-47AA-A1F6-A133FAC3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1311</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5</cp:revision>
  <cp:lastPrinted>2015-07-02T14:19:00Z</cp:lastPrinted>
  <dcterms:created xsi:type="dcterms:W3CDTF">2015-07-01T19:26:00Z</dcterms:created>
  <dcterms:modified xsi:type="dcterms:W3CDTF">2015-07-02T14:34:00Z</dcterms:modified>
</cp:coreProperties>
</file>